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SERVICE LOGICIEL EN LIGNE (SAAS) FINTECH</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[Dénomination sociale], [forme juridique] au capital de [montant] euros, immatriculée au Registre du commerce et des sociétés de [ville] sous le numéro [SIREN], dont le siège social est situé [adresse], représentée par [Nom], agissant en qualité de [qualité], dûment habilité aux fins des présentes,</w:t>
      </w:r>
    </w:p>
    <w:p>
      <w:pPr>
        <w:spacing w:after="120" w:line="276"/>
        <w:jc w:val="both"/>
      </w:pPr>
      <w:r>
        <w:t xml:space="preserve">ci-après dénommée le Prestataire, d'une part,</w:t>
      </w:r>
    </w:p>
    <w:p>
      <w:pPr>
        <w:spacing w:after="120" w:line="276"/>
        <w:jc w:val="both"/>
      </w:pPr>
      <w:r>
        <w:t xml:space="preserve">ET :</w:t>
      </w:r>
    </w:p>
    <w:p>
      <w:pPr>
        <w:spacing w:after="120" w:line="276"/>
        <w:jc w:val="both"/>
      </w:pPr>
      <w:r>
        <w:t xml:space="preserve">[Dénomination sociale], [forme juridique] au capital de [montant] euros, immatriculée au Registre du commerce et des sociétés de [ville] sous le numéro [SIREN], dont le siège social est situé [adresse], représentée par [Nom], agissant en qualité de [qualité], dûment habilité aux fins des présentes,</w:t>
      </w:r>
    </w:p>
    <w:p>
      <w:pPr>
        <w:spacing w:after="120" w:line="276"/>
        <w:jc w:val="both"/>
      </w:pPr>
      <w:r>
        <w:t xml:space="preserve">ci-après dénommée le Client, d'autre part,</w:t>
      </w:r>
    </w:p>
    <w:p>
      <w:pPr>
        <w:spacing w:after="120" w:line="276"/>
        <w:jc w:val="both"/>
      </w:pPr>
      <w:r>
        <w:t xml:space="preserve">Le Prestataire et le Client étant ci-après désignés individuellement une Partie et ensemble les Parties.</w:t>
      </w:r>
    </w:p>
    <w:p>
      <w:pPr>
        <w:spacing w:after="120" w:line="276"/>
        <w:jc w:val="both"/>
      </w:pPr>
      <w:r>
        <w:t xml:space="preserve">IL A ETE PREALABLEMENT EXPOSE CE QUI SUIT :</w:t>
      </w:r>
    </w:p>
    <w:p>
      <w:pPr>
        <w:spacing w:after="120" w:line="276"/>
        <w:jc w:val="both"/>
      </w:pPr>
      <w:r>
        <w:t xml:space="preserve">Le Prestataire édite et exploite une solution logicielle financière mise à disposition en ligne, par abonnement, selon le modèle du logiciel en tant que service (SaaS). Le Client souhaite bénéficier d'un accès à cette solution pour les besoins de son activité, dans le domaine des services financiers.</w:t>
      </w:r>
    </w:p>
    <w:p>
      <w:pPr>
        <w:spacing w:after="120" w:line="276"/>
        <w:jc w:val="both"/>
      </w:pPr>
      <w:r>
        <w:t xml:space="preserve">Les Parties se sont rapprochées afin de définir les conditions de cette mise à disposition, en particulier les niveaux de service, l'encadrement de la sécurité et des données à caractère personnel, ainsi que les conditions de sortie de la relation.</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du service</w:t>
      </w:r>
    </w:p>
    <w:p>
      <w:pPr>
        <w:spacing w:after="120" w:line="276"/>
        <w:jc w:val="both"/>
      </w:pPr>
      <w:r>
        <w:t xml:space="preserve">Le Prestataire met à la disposition du Client, en mode logiciel en tant que service (SaaS), une solution logicielle financière hébergée et exploitée par ses soins, accessible à distance par navigateur et, le cas échéant, par interface de programmation applicative (API), désignée ci-après la Solution.</w:t>
      </w:r>
    </w:p>
    <w:p>
      <w:pPr>
        <w:spacing w:after="120" w:line="276"/>
        <w:jc w:val="both"/>
      </w:pPr>
      <w:r>
        <w:t xml:space="preserve">La Solution est décrite fonctionnellement en Annexe 1 (Description du service). Cette annexe précise les modules souscrits, les fonctionnalités incluses, les limites d'usage (nombre d'utilisateurs, volume de transactions, quotas d'appels API) et la documentation technique de référence.</w:t>
      </w:r>
    </w:p>
    <w:p>
      <w:pPr>
        <w:spacing w:after="120" w:line="276"/>
        <w:jc w:val="both"/>
      </w:pPr>
      <w:r>
        <w:t xml:space="preserve">Le présent contrat a pour objet de concéder au Client un droit d'usage de la Solution, dans les conditions définies ci-après, ainsi que de définir les niveaux de service, les conditions financières, l'encadrement des données et les modalités de fin de relation.</w:t>
      </w:r>
    </w:p>
    <w:p>
      <w:pPr>
        <w:spacing w:after="120" w:line="276"/>
        <w:jc w:val="both"/>
      </w:pPr>
      <w:r>
        <w:t xml:space="preserve">Le contrat porte sur une prestation de services d'accès à un logiciel hébergé, distincte d'une vente ou d'une licence de logiciel installé sur les systèmes du Client. Toute prestation étrangère au périmètre défini en Annexe 1, notamment les développements spécifiques, les paramétrages avancés ou les intégrations sur mesure, fait l'objet d'un devis distinct accepté par les Parties.</w:t>
      </w:r>
    </w:p>
    <w:p>
      <w:pPr>
        <w:pStyle w:val="Heading1"/>
        <w:spacing w:after="120" w:before="280"/>
      </w:pPr>
      <w:r>
        <w:rPr>
          <w:b/>
          <w:bCs/>
          <w:color w:val="0D1B2E"/>
          <w:sz w:val="24"/>
          <w:szCs w:val="24"/>
        </w:rPr>
        <w:t xml:space="preserve">Article 2. Droit d'usage</w:t>
      </w:r>
    </w:p>
    <w:p>
      <w:pPr>
        <w:spacing w:after="120" w:line="276"/>
        <w:jc w:val="both"/>
      </w:pPr>
      <w:r>
        <w:t xml:space="preserve">Le Prestataire concède au Client un droit d'usage de la Solution personnel, non exclusif, non cessible et non transférable, pour ses seuls besoins internes, pendant toute la durée du contrat.</w:t>
      </w:r>
    </w:p>
    <w:p>
      <w:pPr>
        <w:spacing w:after="120" w:line="276"/>
        <w:jc w:val="both"/>
      </w:pPr>
      <w:r>
        <w:t xml:space="preserve">Le Client ne devient à aucun titre propriétaire de la Solution ni des composants logiciels qui la constituent. Il n'acquiert aucun droit de reproduction, de représentation, d'adaptation, de traduction, de décompilation ou d'extraction du logiciel au-delà de l'usage strictement nécessaire à l'exécution du service, sous réserve des exceptions prévues par les articles L. 122-6 et L. 122-6-1 du Code de la propriété intellectuelle.</w:t>
      </w:r>
    </w:p>
    <w:p>
      <w:pPr>
        <w:spacing w:after="120" w:line="276"/>
        <w:jc w:val="both"/>
      </w:pPr>
      <w:r>
        <w:t xml:space="preserve">Le droit d'usage bénéficie aux collaborateurs du Client dûment habilités, identifiés par des comptes nominatifs. Le Client répond de l'usage des identifiants attribués et prend les mesures nécessaires à leur confidentialité.</w:t>
      </w:r>
    </w:p>
    <w:p>
      <w:pPr>
        <w:spacing w:after="120" w:line="276"/>
        <w:jc w:val="both"/>
      </w:pPr>
      <w:r>
        <w:t xml:space="preserve">Il est interdit au Client de mettre la Solution à la disposition de tiers, de la commercialiser, de la sous-licencier, de l'exploiter en marque blanche ou d'en permettre l'accès à des personnes non habilitées, sauf accord écrit et préalable du Prestataire.</w:t>
      </w:r>
    </w:p>
    <w:p>
      <w:pPr>
        <w:pStyle w:val="Heading1"/>
        <w:spacing w:after="120" w:before="280"/>
      </w:pPr>
      <w:r>
        <w:rPr>
          <w:b/>
          <w:bCs/>
          <w:color w:val="0D1B2E"/>
          <w:sz w:val="24"/>
          <w:szCs w:val="24"/>
        </w:rPr>
        <w:t xml:space="preserve">Article 3. Niveaux de service et disponibilité</w:t>
      </w:r>
    </w:p>
    <w:p>
      <w:pPr>
        <w:spacing w:after="120" w:line="276"/>
        <w:jc w:val="both"/>
      </w:pPr>
      <w:r>
        <w:t xml:space="preserve">Le Prestataire s'engage à un taux de disponibilité de la Solution de [X] % par mois calendaire, mesuré selon les modalités définies en Annexe 2 (Convention de niveaux de service), hors périodes de maintenance planifiée.</w:t>
      </w:r>
    </w:p>
    <w:p>
      <w:pPr>
        <w:spacing w:after="120" w:line="276"/>
        <w:jc w:val="both"/>
      </w:pPr>
      <w:r>
        <w:t xml:space="preserve">Les opérations de maintenance planifiée sont réalisées, dans la mesure du possible, en dehors des heures ouvrées et annoncées au Client avec un préavis de [X] jours. Elles ne sont pas décomptées comme indisponibilité.</w:t>
      </w:r>
    </w:p>
    <w:p>
      <w:pPr>
        <w:spacing w:after="120" w:line="276"/>
        <w:jc w:val="both"/>
      </w:pPr>
      <w:r>
        <w:t xml:space="preserve">En cas d'incident, le Prestataire respecte les délais suivants : garantie de temps d'intervention (GTI) de [X] heures et garantie de temps de rétablissement (GTR) de [X] heures pour les incidents bloquants, selon les niveaux de gravité définis en Annexe 2.</w:t>
      </w:r>
    </w:p>
    <w:p>
      <w:pPr>
        <w:spacing w:after="120" w:line="276"/>
        <w:jc w:val="both"/>
      </w:pPr>
      <w:r>
        <w:t xml:space="preserve">En cas de manquement aux engagements de disponibilité ou de rétablissement, le Client bénéficie de pénalités calculées sur le montant de l'abonnement mensuel, selon le barème figurant en Annexe 2. Ces pénalités prennent la forme d'avoirs imputables sur les échéances suivantes.</w:t>
      </w:r>
    </w:p>
    <w:p>
      <w:pPr>
        <w:spacing w:after="120" w:line="276"/>
        <w:jc w:val="both"/>
      </w:pPr>
      <w:r>
        <w:t xml:space="preserve">Les engagements de niveaux de service constituent une obligation de résultat quant aux taux et délais chiffrés en Annexe 2. Le Prestataire ne répond pas des indisponibilités imputables au Client, à ses équipements, à sa connexion, à un cas de force majeure ou à un tiers dont le Prestataire n'a pas la maîtrise.</w:t>
      </w:r>
    </w:p>
    <w:p>
      <w:pPr>
        <w:pStyle w:val="Heading1"/>
        <w:spacing w:after="120" w:before="280"/>
      </w:pPr>
      <w:r>
        <w:rPr>
          <w:b/>
          <w:bCs/>
          <w:color w:val="0D1B2E"/>
          <w:sz w:val="24"/>
          <w:szCs w:val="24"/>
        </w:rPr>
        <w:t xml:space="preserve">Article 4. Accès, API et support utilisateur</w:t>
      </w:r>
    </w:p>
    <w:p>
      <w:pPr>
        <w:spacing w:after="120" w:line="276"/>
        <w:jc w:val="both"/>
      </w:pPr>
      <w:r>
        <w:t xml:space="preserve">L'accès à la Solution s'effectue par authentification, selon les moyens précisés en Annexe 1. Le Client veille à la sécurité des accès attribués à ses utilisateurs et notifie sans délai au Prestataire toute compromission suspectée.</w:t>
      </w:r>
    </w:p>
    <w:p>
      <w:pPr>
        <w:spacing w:after="120" w:line="276"/>
        <w:jc w:val="both"/>
      </w:pPr>
      <w:r>
        <w:t xml:space="preserve">Lorsque la Solution est exposée par API, le Client respecte les quotas, les modalités d'authentification et les conditions techniques d'usage documentées. Tout usage anormal, détourné ou excédant les quotas peut donner lieu à une limitation ou à une suspension temporaire de l'accès, après information du Client sauf urgence de sécurité.</w:t>
      </w:r>
    </w:p>
    <w:p>
      <w:pPr>
        <w:spacing w:after="120" w:line="276"/>
        <w:jc w:val="both"/>
      </w:pPr>
      <w:r>
        <w:t xml:space="preserve">Le Prestataire fournit un support utilisateur accessible par les canaux et aux horaires précisés en Annexe 2. Le support prend en charge les demandes d'assistance, les signalements d'anomalie et les questions d'usage.</w:t>
      </w:r>
    </w:p>
    <w:p>
      <w:pPr>
        <w:spacing w:after="120" w:line="276"/>
        <w:jc w:val="both"/>
      </w:pPr>
      <w:r>
        <w:t xml:space="preserve">Le support courant se distingue de la maintenance corrective. Les anomalies reproductibles affectant le fonctionnement de la Solution sont traitées selon les niveaux de gravité et les délais de la convention de niveaux de service.</w:t>
      </w:r>
    </w:p>
    <w:p>
      <w:pPr>
        <w:spacing w:after="120" w:line="276"/>
        <w:jc w:val="both"/>
      </w:pPr>
      <w:r>
        <w:t xml:space="preserve">Le Prestataire assure la maintenance évolutive de la Solution. Les mises à jour et évolutions sont déployées sans surcoût lorsqu'elles s'inscrivent dans le périmètre souscrit ; elles ne peuvent réduire de manière substantielle les fonctionnalités essentielles sans information préalable du Client.</w:t>
      </w:r>
    </w:p>
    <w:p>
      <w:pPr>
        <w:pStyle w:val="Heading1"/>
        <w:spacing w:after="120" w:before="280"/>
      </w:pPr>
      <w:r>
        <w:rPr>
          <w:b/>
          <w:bCs/>
          <w:color w:val="0D1B2E"/>
          <w:sz w:val="24"/>
          <w:szCs w:val="24"/>
        </w:rPr>
        <w:t xml:space="preserve">Article 5. Prix, abonnement et facturation</w:t>
      </w:r>
    </w:p>
    <w:p>
      <w:pPr>
        <w:spacing w:after="120" w:line="276"/>
        <w:jc w:val="both"/>
      </w:pPr>
      <w:r>
        <w:t xml:space="preserve">En contrepartie du service, le Client verse un abonnement d'un montant de [montant] euros hors taxes par [période], selon les modalités précisées en Annexe 3 (Conditions financières).</w:t>
      </w:r>
    </w:p>
    <w:p>
      <w:pPr>
        <w:spacing w:after="120" w:line="276"/>
        <w:jc w:val="both"/>
      </w:pPr>
      <w:r>
        <w:t xml:space="preserve">Lorsque tout ou partie du prix est calculé à l'usage, le mode de comptage (nombre de transactions, d'utilisateurs actifs, d'appels API ou tout autre indicateur) est défini en Annexe 3. Le Prestataire met à disposition du Client les éléments permettant de vérifier ce comptage.</w:t>
      </w:r>
    </w:p>
    <w:p>
      <w:pPr>
        <w:spacing w:after="120" w:line="276"/>
        <w:jc w:val="both"/>
      </w:pPr>
      <w:r>
        <w:t xml:space="preserve">Les factures sont émises selon la périodicité convenue et payables sous [X] jours à compter de leur date d'émission, dans la limite du plafond fixé par l'article L. 441-10 du Code de commerce.</w:t>
      </w:r>
    </w:p>
    <w:p>
      <w:pPr>
        <w:spacing w:after="120" w:line="276"/>
        <w:jc w:val="both"/>
      </w:pPr>
      <w:r>
        <w:t xml:space="preserve">Tout retard de paiement entraîne de plein droit l'application de pénalités calculées au taux prévu à l'article L. 441-10 du Code de commerce, ainsi que l'indemnité forfaitaire pour frais de recouvrement de 40 euros prévue à l'article D. 441-5 du même code, sans préjudice de toute autre voie de recouvrement.</w:t>
      </w:r>
    </w:p>
    <w:p>
      <w:pPr>
        <w:spacing w:after="120" w:line="276"/>
        <w:jc w:val="both"/>
      </w:pPr>
      <w:r>
        <w:t xml:space="preserve">Les tarifs peuvent être révisés à chaque échéance de reconduction, moyennant un préavis écrit de [X] jours. À défaut d'acceptation par le Client, celui-ci peut résilier le contrat dans les conditions de l'article relatif à la durée.</w:t>
      </w:r>
    </w:p>
    <w:p>
      <w:pPr>
        <w:pStyle w:val="Heading1"/>
        <w:spacing w:after="120" w:before="280"/>
      </w:pPr>
      <w:r>
        <w:rPr>
          <w:b/>
          <w:bCs/>
          <w:color w:val="0D1B2E"/>
          <w:sz w:val="24"/>
          <w:szCs w:val="24"/>
        </w:rPr>
        <w:t xml:space="preserve">Article 6. Sécurité et protection des données à caractère personnel</w:t>
      </w:r>
    </w:p>
    <w:p>
      <w:pPr>
        <w:spacing w:after="120" w:line="276"/>
        <w:jc w:val="both"/>
      </w:pPr>
      <w:r>
        <w:t xml:space="preserve">Dans le cadre du service, le Prestataire est susceptible de traiter des données à caractère personnel pour le compte du Client. Le Client agit en qualité de responsable de traitement et le Prestataire en qualité de sous-traitant au sens de l'article 28 du Règlement (UE) 2016/679 (RGPD).</w:t>
      </w:r>
    </w:p>
    <w:p>
      <w:pPr>
        <w:spacing w:after="120" w:line="276"/>
        <w:jc w:val="both"/>
      </w:pPr>
      <w:r>
        <w:t xml:space="preserve">Les modalités de ce traitement sont régies par l'acte de sous-traitance figurant en Annexe 4, qui précise l'objet, la durée, la nature et la finalité du traitement, les catégories de données et de personnes concernées, ainsi que les obligations et droits du responsable de traitement.</w:t>
      </w:r>
    </w:p>
    <w:p>
      <w:pPr>
        <w:spacing w:after="120" w:line="276"/>
        <w:jc w:val="both"/>
      </w:pPr>
      <w:r>
        <w:t xml:space="preserve">Le Prestataire ne traite les données que sur instructions documentées du Client, veille à ce que les personnes autorisées à les traiter s'engagent à la confidentialité, et met en œuvre les mesures techniques et organisationnelles appropriées définies en Annexe 4.</w:t>
      </w:r>
    </w:p>
    <w:p>
      <w:pPr>
        <w:spacing w:after="120" w:line="276"/>
        <w:jc w:val="both"/>
      </w:pPr>
      <w:r>
        <w:t xml:space="preserve">Le recours à un sous-traitant ultérieur est soumis à l'autorisation écrite, générale ou spécifique, du Client. Le Prestataire l'informe de tout changement envisagé et lui permet de s'y opposer. La liste des sous-traitants ultérieurs autorisés figure en Annexe 4.</w:t>
      </w:r>
    </w:p>
    <w:p>
      <w:pPr>
        <w:spacing w:after="120" w:line="276"/>
        <w:jc w:val="both"/>
      </w:pPr>
      <w:r>
        <w:t xml:space="preserve">Les données sont hébergées et traitées dans les lieux précisés en Annexe 4. Tout transfert de données hors de l'Union européenne est encadré par un mécanisme de garantie approprié conforme aux articles 44 et suivants du RGPD, notamment les clauses contractuelles types de la Commission européenne.</w:t>
      </w:r>
    </w:p>
    <w:p>
      <w:pPr>
        <w:spacing w:after="120" w:line="276"/>
        <w:jc w:val="both"/>
      </w:pPr>
      <w:r>
        <w:t xml:space="preserve">Le Prestataire assiste le Client dans le respect de ses obligations, notamment en matière de sécurité, de notification de violation de données, d'analyse d'impact et de réponse aux demandes d'exercice des droits des personnes concernées. Il notifie au Client toute violation de données à caractère personnel dans les meilleurs délais après en avoir pris connaissance.</w:t>
      </w:r>
    </w:p>
    <w:p>
      <w:pPr>
        <w:spacing w:after="120" w:line="276"/>
        <w:jc w:val="both"/>
      </w:pPr>
      <w:r>
        <w:t xml:space="preserve">Lorsque la Solution traite des données bancaires ou de comptes, le Prestataire respecte le secret applicable et les mesures de sécurité renforcées correspondant à la sensibilité de ces données.</w:t>
      </w:r>
    </w:p>
    <w:p>
      <w:pPr>
        <w:pStyle w:val="Heading1"/>
        <w:spacing w:after="120" w:before="280"/>
      </w:pPr>
      <w:r>
        <w:rPr>
          <w:b/>
          <w:bCs/>
          <w:color w:val="0D1B2E"/>
          <w:sz w:val="24"/>
          <w:szCs w:val="24"/>
        </w:rPr>
        <w:t xml:space="preserve">Article 7. Confidentialité</w:t>
      </w:r>
    </w:p>
    <w:p>
      <w:pPr>
        <w:spacing w:after="120" w:line="276"/>
        <w:jc w:val="both"/>
      </w:pPr>
      <w:r>
        <w:t xml:space="preserve">Chaque Partie s'engage à préserver la confidentialité des informations, documents et données de toute nature reçus de l'autre Partie à l'occasion du contrat, et à ne les utiliser que pour les besoins de son exécution.</w:t>
      </w:r>
    </w:p>
    <w:p>
      <w:pPr>
        <w:spacing w:after="120" w:line="276"/>
        <w:jc w:val="both"/>
      </w:pPr>
      <w:r>
        <w:t xml:space="preserve">Sont notamment couvertes par cet engagement les données financières, commerciales, techniques et stratégiques du Client auxquelles le Prestataire est susceptible d'accéder, ainsi que les caractéristiques techniques de la Solution du côté du Client.</w:t>
      </w:r>
    </w:p>
    <w:p>
      <w:pPr>
        <w:spacing w:after="120" w:line="276"/>
        <w:jc w:val="both"/>
      </w:pPr>
      <w:r>
        <w:t xml:space="preserve">Cette obligation ne s'applique pas aux informations tombées dans le domaine public sans faute de la Partie qui les reçoit, déjà connues d'elle avant leur communication, ou dont la divulgation est requise par la loi ou une autorité compétente.</w:t>
      </w:r>
    </w:p>
    <w:p>
      <w:pPr>
        <w:spacing w:after="120" w:line="276"/>
        <w:jc w:val="both"/>
      </w:pPr>
      <w:r>
        <w:t xml:space="preserve">L'obligation de confidentialité subsiste pendant toute la durée du contrat et pendant [X] ans après son terme, pour quelque cause que ce soit. Elle est distincte des engagements de sécurité technique prévus à l'article relatif à la protection des données.</w:t>
      </w:r>
    </w:p>
    <w:p>
      <w:pPr>
        <w:pStyle w:val="Heading1"/>
        <w:spacing w:after="120" w:before="280"/>
      </w:pPr>
      <w:r>
        <w:rPr>
          <w:b/>
          <w:bCs/>
          <w:color w:val="0D1B2E"/>
          <w:sz w:val="24"/>
          <w:szCs w:val="24"/>
        </w:rPr>
        <w:t xml:space="preserve">Article 8. Propriété intellectuelle</w:t>
      </w:r>
    </w:p>
    <w:p>
      <w:pPr>
        <w:spacing w:after="120" w:line="276"/>
        <w:jc w:val="both"/>
      </w:pPr>
      <w:r>
        <w:t xml:space="preserve">La Solution, ses composants, son architecture, ses interfaces, sa documentation et l'ensemble de ses évolutions demeurent la propriété exclusive du Prestataire ou de ses concédants. Le contrat n'emporte aucun transfert de propriété au profit du Client, hormis le droit d'usage défini à l'article relatif au droit d'usage.</w:t>
      </w:r>
    </w:p>
    <w:p>
      <w:pPr>
        <w:spacing w:after="120" w:line="276"/>
        <w:jc w:val="both"/>
      </w:pPr>
      <w:r>
        <w:t xml:space="preserve">Les données, contenus et fichiers introduits ou générés par le Client dans la Solution demeurent sa propriété. Le Client concède au Prestataire, pour les seuls besoins de l'exécution du service, les droits d'hébergement et de traitement nécessaires à leur mise à disposition.</w:t>
      </w:r>
    </w:p>
    <w:p>
      <w:pPr>
        <w:spacing w:after="120" w:line="276"/>
        <w:jc w:val="both"/>
      </w:pPr>
      <w:r>
        <w:t xml:space="preserve">Les éventuels développements spécifiques commandés par le Client font l'objet d'une stipulation distincte précisant la titularité des droits. À défaut de stipulation contraire écrite, les développements réalisés à partir du socle du Prestataire, ou qui en constituent une évolution, restent la propriété du Prestataire, le Client bénéficiant d'un droit d'usage dans le périmètre du contrat.</w:t>
      </w:r>
    </w:p>
    <w:p>
      <w:pPr>
        <w:spacing w:after="120" w:line="276"/>
        <w:jc w:val="both"/>
      </w:pPr>
      <w:r>
        <w:t xml:space="preserve">Le Prestataire garantit le Client contre toute action de tiers fondée sur une atteinte aux droits de propriété intellectuelle du fait de la Solution, sous réserve d'en être informé sans délai et d'être associé à la défense.</w:t>
      </w:r>
    </w:p>
    <w:p>
      <w:pPr>
        <w:pStyle w:val="Heading1"/>
        <w:spacing w:after="120" w:before="280"/>
      </w:pPr>
      <w:r>
        <w:rPr>
          <w:b/>
          <w:bCs/>
          <w:color w:val="0D1B2E"/>
          <w:sz w:val="24"/>
          <w:szCs w:val="24"/>
        </w:rPr>
        <w:t xml:space="preserve">Article 9. Responsabilité</w:t>
      </w:r>
    </w:p>
    <w:p>
      <w:pPr>
        <w:spacing w:after="120" w:line="276"/>
        <w:jc w:val="both"/>
      </w:pPr>
      <w:r>
        <w:t xml:space="preserve">La responsabilité du Prestataire au titre du contrat est limitée à la réparation des dommages directs et prévisibles subis par le Client, à l'exclusion de tout dommage indirect, notamment la perte de chiffre d'affaires, de bénéfice, de clientèle, de données non imputable au Prestataire ou d'image.</w:t>
      </w:r>
    </w:p>
    <w:p>
      <w:pPr>
        <w:spacing w:after="120" w:line="276"/>
        <w:jc w:val="both"/>
      </w:pPr>
      <w:r>
        <w:t xml:space="preserve">En tout état de cause, le montant total des sommes dues par le Prestataire au titre d'une même année contractuelle ne peut excéder le montant total des sommes hors taxes versées par le Client au cours des [X] mois précédant le fait générateur.</w:t>
      </w:r>
    </w:p>
    <w:p>
      <w:pPr>
        <w:spacing w:after="120" w:line="276"/>
        <w:jc w:val="both"/>
      </w:pPr>
      <w:r>
        <w:t xml:space="preserve">Les limitations et exclusions du présent article ne s'appliquent ni en cas de faute lourde ou dolosive, ni en cas de dommage corporel, ni dans les cas où la loi les prohibe. Elles ne sauraient priver de sa substance l'obligation essentielle du Prestataire, conformément à l'article 1170 du Code civil.</w:t>
      </w:r>
    </w:p>
    <w:p>
      <w:pPr>
        <w:spacing w:after="120" w:line="276"/>
        <w:jc w:val="both"/>
      </w:pPr>
      <w:r>
        <w:t xml:space="preserve">La responsabilité contractuelle des Parties s'apprécie au regard de l'article 1231-1 du Code civil. Le Prestataire souscrit et maintient une assurance couvrant les conséquences pécuniaires de sa responsabilité au titre du contrat.</w:t>
      </w:r>
    </w:p>
    <w:p>
      <w:pPr>
        <w:pStyle w:val="Heading1"/>
        <w:spacing w:after="120" w:before="280"/>
      </w:pPr>
      <w:r>
        <w:rPr>
          <w:b/>
          <w:bCs/>
          <w:color w:val="0D1B2E"/>
          <w:sz w:val="24"/>
          <w:szCs w:val="24"/>
        </w:rPr>
        <w:t xml:space="preserve">Article 10. Durée, résiliation et réversibilité</w:t>
      </w:r>
    </w:p>
    <w:p>
      <w:pPr>
        <w:spacing w:after="120" w:line="276"/>
        <w:jc w:val="both"/>
      </w:pPr>
      <w:r>
        <w:t xml:space="preserve">Le contrat prend effet à sa date de signature, ou à la date de mise à disposition effective de la Solution si elle est postérieure, pour une durée initiale de [X] mois. Il se reconduit ensuite tacitement par périodes de [X] mois, sauf dénonciation par l'une des Parties moyennant un préavis de [X] jours avant l'échéance.</w:t>
      </w:r>
    </w:p>
    <w:p>
      <w:pPr>
        <w:spacing w:after="120" w:line="276"/>
        <w:jc w:val="both"/>
      </w:pPr>
      <w:r>
        <w:t xml:space="preserve">En cas de manquement grave de l'une des Parties à ses obligations, non réparé dans un délai de [X] jours suivant une mise en demeure restée sans effet, l'autre Partie peut résilier le contrat de plein droit, sans préjudice de tous dommages et intérêts.</w:t>
      </w:r>
    </w:p>
    <w:p>
      <w:pPr>
        <w:spacing w:after="120" w:line="276"/>
        <w:jc w:val="both"/>
      </w:pPr>
      <w:r>
        <w:t xml:space="preserve">À l'expiration ou à la résiliation du contrat, le Prestataire restitue au Client, à sa demande, l'ensemble de ses données dans un format structuré, couramment utilisé et lisible par machine, dans un délai de [X] jours. Une assistance à la migration peut être fournie selon les conditions précisées en Annexe 5 (Réversibilité).</w:t>
      </w:r>
    </w:p>
    <w:p>
      <w:pPr>
        <w:spacing w:after="120" w:line="276"/>
        <w:jc w:val="both"/>
      </w:pPr>
      <w:r>
        <w:t xml:space="preserve">Le Prestataire maintient l'accès à la Solution en lecture pendant une période de réversibilité de [X] jours suivant le terme, afin de permettre au Client de récupérer ses données, sous réserve du paiement des sommes dues.</w:t>
      </w:r>
    </w:p>
    <w:p>
      <w:pPr>
        <w:spacing w:after="120" w:line="276"/>
        <w:jc w:val="both"/>
      </w:pPr>
      <w:r>
        <w:t xml:space="preserve">À l'issue de la période de réversibilité, le Prestataire procède à la suppression définitive des données du Client de ses systèmes, y compris des sauvegardes, sous réserve des obligations légales de conservation, et en délivre une attestation au Client sur demande.</w:t>
      </w:r>
    </w:p>
    <w:p>
      <w:pPr>
        <w:pStyle w:val="Heading1"/>
        <w:spacing w:after="120" w:before="280"/>
      </w:pPr>
      <w:r>
        <w:rPr>
          <w:b/>
          <w:bCs/>
          <w:color w:val="0D1B2E"/>
          <w:sz w:val="24"/>
          <w:szCs w:val="24"/>
        </w:rPr>
        <w:t xml:space="preserve">Article 11. Force majeure</w:t>
      </w:r>
    </w:p>
    <w:p>
      <w:pPr>
        <w:spacing w:after="120" w:line="276"/>
        <w:jc w:val="both"/>
      </w:pPr>
      <w:r>
        <w:t xml:space="preserve">Aucune des Parties ne peut être tenue responsable d'un manquement à ses obligations résultant d'un cas de force majeure au sens de l'article 1218 du Code civil et de la jurisprudence des juridictions françaises.</w:t>
      </w:r>
    </w:p>
    <w:p>
      <w:pPr>
        <w:spacing w:after="120" w:line="276"/>
        <w:jc w:val="both"/>
      </w:pPr>
      <w:r>
        <w:t xml:space="preserve">La Partie empêchée en informe l'autre sans délai et met en œuvre les moyens raisonnables pour en limiter les effets. Les obligations affectées sont suspendues pendant la durée de l'empêchement.</w:t>
      </w:r>
    </w:p>
    <w:p>
      <w:pPr>
        <w:spacing w:after="120" w:line="276"/>
        <w:jc w:val="both"/>
      </w:pPr>
      <w:r>
        <w:t xml:space="preserve">Si l'empêchement se prolonge au-delà de [X] jours, chacune des Parties peut résilier le contrat de plein droit par notification écrite, sans indemnité de part et d'autre, les sommes dues au titre des prestations exécutées restant exigibles.</w:t>
      </w:r>
    </w:p>
    <w:p>
      <w:pPr>
        <w:pStyle w:val="Heading1"/>
        <w:spacing w:after="120" w:before="280"/>
      </w:pPr>
      <w:r>
        <w:rPr>
          <w:b/>
          <w:bCs/>
          <w:color w:val="0D1B2E"/>
          <w:sz w:val="24"/>
          <w:szCs w:val="24"/>
        </w:rPr>
        <w:t xml:space="preserve">Article 12. Stipulations diverses</w:t>
      </w:r>
    </w:p>
    <w:p>
      <w:pPr>
        <w:spacing w:after="120" w:line="276"/>
        <w:jc w:val="both"/>
      </w:pPr>
      <w:r>
        <w:t xml:space="preserve">Le contrat, y compris ses annexes, exprime l'intégralité de l'accord des Parties et prévaut sur tout échange ou document antérieur relatif à son objet.</w:t>
      </w:r>
    </w:p>
    <w:p>
      <w:pPr>
        <w:spacing w:after="120" w:line="276"/>
        <w:jc w:val="both"/>
      </w:pPr>
      <w:r>
        <w:t xml:space="preserve">Toute modification du contrat fait l'objet d'un avenant écrit et signé des Parties. En cas de contradiction entre le corps du contrat et une annexe, le corps du contrat prévaut, sauf stipulation expresse contraire.</w:t>
      </w:r>
    </w:p>
    <w:p>
      <w:pPr>
        <w:spacing w:after="120" w:line="276"/>
        <w:jc w:val="both"/>
      </w:pPr>
      <w:r>
        <w:t xml:space="preserve">Le fait pour l'une des Parties de ne pas se prévaloir d'un manquement de l'autre à l'une de ses obligations ne saurait valoir renonciation à s'en prévaloir ultérieurement.</w:t>
      </w:r>
    </w:p>
    <w:p>
      <w:pPr>
        <w:spacing w:after="120" w:line="276"/>
        <w:jc w:val="both"/>
      </w:pPr>
      <w:r>
        <w:t xml:space="preserve">Si l'une des stipulations du contrat était déclarée nulle ou inapplicable, les autres stipulations conserveraient leur pleine valeur. Les Parties conviennent de lui substituer une stipulation valable de portée équivalente.</w:t>
      </w:r>
    </w:p>
    <w:p>
      <w:pPr>
        <w:spacing w:after="120" w:line="276"/>
        <w:jc w:val="both"/>
      </w:pPr>
      <w:r>
        <w:t xml:space="preserve">Aucune des Parties ne peut céder le contrat sans l'accord écrit et préalable de l'autre, sauf transmission à une entité de son groupe ou dans le cadre d'une opération de restructuration, sous réserve d'en informer l'autre Partie.</w:t>
      </w:r>
    </w:p>
    <w:p>
      <w:pPr>
        <w:pStyle w:val="Heading1"/>
        <w:spacing w:after="120" w:before="280"/>
      </w:pPr>
      <w:r>
        <w:rPr>
          <w:b/>
          <w:bCs/>
          <w:color w:val="0D1B2E"/>
          <w:sz w:val="24"/>
          <w:szCs w:val="24"/>
        </w:rPr>
        <w:t xml:space="preserve">Article 13. Droit applicable et règlement des litiges</w:t>
      </w:r>
    </w:p>
    <w:p>
      <w:pPr>
        <w:spacing w:after="120" w:line="276"/>
        <w:jc w:val="both"/>
      </w:pPr>
      <w:r>
        <w:t xml:space="preserve">Le contrat est régi par le droit français. Il est rédigé en langue française, seule version faisant foi entre les Parties.</w:t>
      </w:r>
    </w:p>
    <w:p>
      <w:pPr>
        <w:spacing w:after="120" w:line="276"/>
        <w:jc w:val="both"/>
      </w:pPr>
      <w:r>
        <w:t xml:space="preserve">En cas de différend relatif à sa validité, son interprétation ou son exécution, les Parties s'efforcent de rechercher une solution amiable dans un délai de [X] jours à compter de la notification du différend par l'une à l'autre.</w:t>
      </w:r>
    </w:p>
    <w:p>
      <w:pPr>
        <w:spacing w:after="120" w:line="276"/>
        <w:jc w:val="both"/>
      </w:pPr>
      <w:r>
        <w:t xml:space="preserve">À défaut d'accord amiable, le litige est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Prestataire : [Nom, qualité du signataire], signature</w:t>
      </w:r>
    </w:p>
    <w:p>
      <w:pPr>
        <w:spacing w:after="120" w:line="276"/>
        <w:jc w:val="both"/>
      </w:pPr>
      <w:r>
        <w:t xml:space="preserve">Le Client : [Nom, qualité du signataire], signature</w:t>
      </w:r>
    </w:p>
    <w:p>
      <w:pPr>
        <w:spacing w:after="120" w:line="276"/>
        <w:jc w:val="both"/>
      </w:pPr>
      <w:r>
        <w:t xml:space="preserve">Annexes au contrat : Annexe 1 (Description du service), Annexe 2 (Convention de niveaux de service), Annexe 3 (Conditions financières), Annexe 4 (Acte de sous-traitance des données à caractère personnel), Annexe 5 (Réversibilité).</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SERVICE LOGICIEL EN LIGNE (SaaS) FINTECH</dc:title>
  <dc:creator>Pactolane</dc:creator>
  <dc:description>Modele de contrat Pactolane, a adapter.</dc:description>
  <cp:lastModifiedBy>Un-named</cp:lastModifiedBy>
  <cp:revision>1</cp:revision>
  <dcterms:created xsi:type="dcterms:W3CDTF">2026-07-19T22:13:58.630Z</dcterms:created>
  <dcterms:modified xsi:type="dcterms:W3CDTF">2026-07-19T22:13:58.630Z</dcterms:modified>
</cp:coreProperties>
</file>

<file path=docProps/custom.xml><?xml version="1.0" encoding="utf-8"?>
<Properties xmlns="http://schemas.openxmlformats.org/officeDocument/2006/custom-properties" xmlns:vt="http://schemas.openxmlformats.org/officeDocument/2006/docPropsVTypes"/>
</file>