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SERVICE LOGICIEL EN LIGNE (SAAS) PORTANT SUR DES DONNEES DE SANTE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de l'éditeur],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l'Éditeur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client],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w:t>
      </w:r>
    </w:p>
    <w:p>
      <w:pPr>
        <w:spacing w:after="120" w:line="276"/>
        <w:jc w:val="both"/>
      </w:pPr>
      <w:r>
        <w:t xml:space="preserve">D'autre part,</w:t>
      </w:r>
    </w:p>
    <w:p>
      <w:pPr>
        <w:spacing w:after="120" w:line="276"/>
        <w:jc w:val="both"/>
      </w:pPr>
      <w:r>
        <w:t xml:space="preserve">L'Éditeur et le Client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L'Éditeur exploite un logiciel accessible en ligne, en mode hébergé, destiné au traitement de données recueillies à l'occasion d'activités de prévention, de diagnostic, de soins ou de suivi médico-social. Le Client, exerçant une activité dans le secteur de la santé, souhaite bénéficier d'un accès à ce service pour ses propres besoins, dans les conditions définies au présent contrat.</w:t>
      </w:r>
    </w:p>
    <w:p>
      <w:pPr>
        <w:spacing w:after="120" w:line="276"/>
        <w:jc w:val="both"/>
      </w:pPr>
      <w:r>
        <w:t xml:space="preserve">Le Client déclare avoir reçu de l'Éditeur l'ensemble des informations nécessaires à l'appréciation de l'adéquation du service à ses besoins. L'Éditeur déclare disposer des compétences, moyens et autorisations nécessaires à l'exécution de ses obligations.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l'interprétation et l'exécution du présent contrat, les termes ci-après, employés avec une majuscule, ont la signification suivante :</w:t>
      </w:r>
    </w:p>
    <w:p>
      <w:pPr>
        <w:spacing w:after="120" w:line="276"/>
        <w:jc w:val="both"/>
      </w:pPr>
      <w:r>
        <w:t xml:space="preserve">(a) « Service » : le logiciel applicatif mis à disposition par l'Éditeur en mode hébergé, accessible à distance par le Client, ainsi que les prestations associées décrites à l'Article 1.</w:t>
      </w:r>
    </w:p>
    <w:p>
      <w:pPr>
        <w:spacing w:after="120" w:line="276"/>
        <w:jc w:val="both"/>
      </w:pPr>
      <w:r>
        <w:t xml:space="preserve">(b) « Utilisateur » : toute personne physique autorisée par le Client à accéder au Service au moyen d'identifiants de connexion qui lui sont propres.</w:t>
      </w:r>
    </w:p>
    <w:p>
      <w:pPr>
        <w:spacing w:after="120" w:line="276"/>
        <w:jc w:val="both"/>
      </w:pPr>
      <w:r>
        <w:t xml:space="preserve">(c) « Données du Client » : l'ensemble des données, y compris les données à caractère personnel et les données de santé, saisies, importées, traitées ou générées par le Client ou ses Utilisateurs au moyen du Service.</w:t>
      </w:r>
    </w:p>
    <w:p>
      <w:pPr>
        <w:spacing w:after="120" w:line="276"/>
        <w:jc w:val="both"/>
      </w:pPr>
      <w:r>
        <w:t xml:space="preserve">(d) « Données de santé » : les données à caractère personnel relatives à la santé physique ou mentale d'une personne physique, au sens de l'article 4 du Règlement général sur la protection des données, recueillies à l'occasion d'activités de prévention, de diagnostic, de soins ou de suivi.</w:t>
      </w:r>
    </w:p>
    <w:p>
      <w:pPr>
        <w:spacing w:after="120" w:line="276"/>
        <w:jc w:val="both"/>
      </w:pPr>
      <w:r>
        <w:t xml:space="preserve">(e) « HDS » : le régime d'hébergement de données de santé à caractère personnel prévu à l'article L. 1111-8 du Code de la santé publique.</w:t>
      </w:r>
    </w:p>
    <w:p>
      <w:pPr>
        <w:spacing w:after="120" w:line="276"/>
        <w:jc w:val="both"/>
      </w:pPr>
      <w:r>
        <w:t xml:space="preserve">(f) « SLA » : les engagements de niveaux de service définis à l'Article 3.</w:t>
      </w:r>
    </w:p>
    <w:p>
      <w:pPr>
        <w:spacing w:after="120" w:line="276"/>
        <w:jc w:val="both"/>
      </w:pPr>
      <w:r>
        <w:t xml:space="preserve">(g) « Documentation » : les manuels, guides et spécifications techniques et fonctionnelles décrivant le Service, mis à disposition du Client par l'Éditeur.</w:t>
      </w:r>
    </w:p>
    <w:p>
      <w:pPr>
        <w:pStyle w:val="Heading1"/>
        <w:spacing w:after="120" w:before="280"/>
      </w:pPr>
      <w:r>
        <w:rPr>
          <w:b/>
          <w:bCs/>
          <w:color w:val="0D1B2E"/>
          <w:sz w:val="24"/>
          <w:szCs w:val="24"/>
        </w:rPr>
        <w:t xml:space="preserve">Article 2. Objet et description du service</w:t>
      </w:r>
    </w:p>
    <w:p>
      <w:pPr>
        <w:spacing w:after="120" w:line="276"/>
        <w:jc w:val="both"/>
      </w:pPr>
      <w:r>
        <w:t xml:space="preserve">Le présent contrat a pour objet de définir les conditions dans lesquelles l'Éditeur met à la disposition du Client un accès au Service, ainsi que les droits et obligations réciproques des Parties.</w:t>
      </w:r>
    </w:p>
    <w:p>
      <w:pPr>
        <w:spacing w:after="120" w:line="276"/>
        <w:jc w:val="both"/>
      </w:pPr>
      <w:r>
        <w:t xml:space="preserve">Le Service consiste en la mise à disposition, à distance et en mode hébergé, du logiciel décrit ci-après : [description fonctionnelle du logiciel, finalité, principales fonctionnalités].</w:t>
      </w:r>
    </w:p>
    <w:p>
      <w:pPr>
        <w:spacing w:after="120" w:line="276"/>
        <w:jc w:val="both"/>
      </w:pPr>
      <w:r>
        <w:t xml:space="preserve">Le Service est accessible par [navigateur web / interface applicative / API], selon les modalités techniques précisées dans la Documentation. L'Éditeur héberge et exploite le logiciel sur son infrastructure ou celle de ses prestataires, le Client ne recevant aucune copie exécutable du logiciel.</w:t>
      </w:r>
    </w:p>
    <w:p>
      <w:pPr>
        <w:spacing w:after="120" w:line="276"/>
        <w:jc w:val="both"/>
      </w:pPr>
      <w:r>
        <w:t xml:space="preserve">Le périmètre de l'abonnement souscrit par le Client, notamment le nombre d'Utilisateurs autorisés, les modules activés et les volumes de données inclus, est précisé en Annexe 1.</w:t>
      </w:r>
    </w:p>
    <w:p>
      <w:pPr>
        <w:spacing w:after="120" w:line="276"/>
        <w:jc w:val="both"/>
      </w:pPr>
      <w:r>
        <w:t xml:space="preserve">Les prestations complémentaires éventuelles, telles que le paramétrage initial, la reprise de données, la formation des Utilisateurs ou les développements spécifiques, font l'objet de conditions distinctes précisées en Annexe 1 et sont facturées en sus.</w:t>
      </w:r>
    </w:p>
    <w:p>
      <w:pPr>
        <w:pStyle w:val="Heading1"/>
        <w:spacing w:after="120" w:before="280"/>
      </w:pPr>
      <w:r>
        <w:rPr>
          <w:b/>
          <w:bCs/>
          <w:color w:val="0D1B2E"/>
          <w:sz w:val="24"/>
          <w:szCs w:val="24"/>
        </w:rPr>
        <w:t xml:space="preserve">Article 3. Droit d'usage et propriété du logiciel</w:t>
      </w:r>
    </w:p>
    <w:p>
      <w:pPr>
        <w:spacing w:after="120" w:line="276"/>
        <w:jc w:val="both"/>
      </w:pPr>
      <w:r>
        <w:t xml:space="preserve">L'Éditeur concède au Client, pour la durée du contrat, un droit d'usage du Service personnel, non exclusif et non cessible, limité aux besoins propres de son activité et au périmètre défini en Annexe 1.</w:t>
      </w:r>
    </w:p>
    <w:p>
      <w:pPr>
        <w:spacing w:after="120" w:line="276"/>
        <w:jc w:val="both"/>
      </w:pPr>
      <w:r>
        <w:t xml:space="preserve">L'Éditeur demeure seul titulaire de l'ensemble des droits de propriété intellectuelle afférents au logiciel, à ses composants, à son architecture, à sa Documentation et à ses éventuelles évolutions, conformément à l'article L. 122-6 du Code de la propriété intellectuelle. Le présent contrat n'emporte aucun transfert de propriété au profit du Client.</w:t>
      </w:r>
    </w:p>
    <w:p>
      <w:pPr>
        <w:spacing w:after="120" w:line="276"/>
        <w:jc w:val="both"/>
      </w:pPr>
      <w:r>
        <w:t xml:space="preserve">Le Client s'interdit, directement ou par l'intermédiaire d'un tiers, de reproduire, adapter, traduire, décompiler le logiciel ou de procéder à toute opération de rétro-ingénierie, hors les cas strictement autorisés par la loi.</w:t>
      </w:r>
    </w:p>
    <w:p>
      <w:pPr>
        <w:spacing w:after="120" w:line="276"/>
        <w:jc w:val="both"/>
      </w:pPr>
      <w:r>
        <w:t xml:space="preserve">Le Client s'interdit de mettre le Service à la disposition de tiers, de le sous-licencier ou de l'exploiter au bénéfice de personnes autres que ses Utilisateurs autorisés.</w:t>
      </w:r>
    </w:p>
    <w:p>
      <w:pPr>
        <w:spacing w:after="120" w:line="276"/>
        <w:jc w:val="both"/>
      </w:pPr>
      <w:r>
        <w:t xml:space="preserve">Les développements spécifiques éventuellement réalisés à la demande du Client font l'objet d'une stipulation expresse relative à leur titularité en Annexe 1. A défaut de stipulation contraire, les droits sur ces développements restent la propriété de l'Éditeur, le Client bénéficiant d'un droit d'usage dans les conditions du présent contrat.</w:t>
      </w:r>
    </w:p>
    <w:p>
      <w:pPr>
        <w:spacing w:after="120" w:line="276"/>
        <w:jc w:val="both"/>
      </w:pPr>
      <w:r>
        <w:t xml:space="preserve">Les Données du Client demeurent la propriété exclusive du Client. L'Éditeur ne dispose sur ces données d'aucun droit autre que ceux strictement nécessaires à l'exécution du Service.</w:t>
      </w:r>
    </w:p>
    <w:p>
      <w:pPr>
        <w:pStyle w:val="Heading1"/>
        <w:spacing w:after="120" w:before="280"/>
      </w:pPr>
      <w:r>
        <w:rPr>
          <w:b/>
          <w:bCs/>
          <w:color w:val="0D1B2E"/>
          <w:sz w:val="24"/>
          <w:szCs w:val="24"/>
        </w:rPr>
        <w:t xml:space="preserve">Article 4. Niveaux de service et disponibilité</w:t>
      </w:r>
    </w:p>
    <w:p>
      <w:pPr>
        <w:spacing w:after="120" w:line="276"/>
        <w:jc w:val="both"/>
      </w:pPr>
      <w:r>
        <w:t xml:space="preserve">L'Éditeur s'engage à assurer une disponibilité du Service au taux de [X] % par mois calendaire, mesurée en dehors des périodes de maintenance planifiée et des cas de force majeure.</w:t>
      </w:r>
    </w:p>
    <w:p>
      <w:pPr>
        <w:spacing w:after="120" w:line="276"/>
        <w:jc w:val="both"/>
      </w:pPr>
      <w:r>
        <w:t xml:space="preserve">Le taux de disponibilité est calculé selon la formule suivante : (durée totale de la période de référence diminuée de la durée des indisponibilités) divisée par la durée totale de la période de référence, exprimée en pourcentage. La période de référence est le mois calendaire.</w:t>
      </w:r>
    </w:p>
    <w:p>
      <w:pPr>
        <w:spacing w:after="120" w:line="276"/>
        <w:jc w:val="both"/>
      </w:pPr>
      <w:r>
        <w:t xml:space="preserve">Ne sont pas comptabilisées comme indisponibilités : les opérations de maintenance planifiée notifiées au Client au moins [X] jours à l'avance, les interruptions imputables au Client ou à ses Utilisateurs, les défaillances des réseaux de télécommunication externes et les cas de force majeure.</w:t>
      </w:r>
    </w:p>
    <w:p>
      <w:pPr>
        <w:spacing w:after="120" w:line="276"/>
        <w:jc w:val="both"/>
      </w:pPr>
      <w:r>
        <w:t xml:space="preserve">En cas d'incident, l'Éditeur s'engage à respecter les délais suivants : garantie de temps d'intervention (GTI) de [X] heures et garantie de temps de rétablissement (GTR) de [X] heures ouvrées, appréciées selon le niveau de criticité défini en Annexe 2.</w:t>
      </w:r>
    </w:p>
    <w:p>
      <w:pPr>
        <w:spacing w:after="120" w:line="276"/>
        <w:jc w:val="both"/>
      </w:pPr>
      <w:r>
        <w:t xml:space="preserve">L'Éditeur peut procéder à des opérations de maintenance planifiée, de préférence en dehors des heures ouvrées, moyennant un préavis de [X] jours. Les opérations de maintenance corrective d'urgence peuvent être réalisées sans préavis, l'Éditeur informant alors le Client dans les meilleurs délais.</w:t>
      </w:r>
    </w:p>
    <w:p>
      <w:pPr>
        <w:spacing w:after="120" w:line="276"/>
        <w:jc w:val="both"/>
      </w:pPr>
      <w:r>
        <w:t xml:space="preserve">En cas de manquement aux engagements de disponibilité ou de rétablissement, le Client peut prétendre à des pénalités calculées selon le barème figurant en Annexe 2. Ces pénalités présentent un caractère forfaitaire et sont imputées sur les factures suivantes, dans la limite du plafond prévu à ladite annexe.</w:t>
      </w:r>
    </w:p>
    <w:p>
      <w:pPr>
        <w:pStyle w:val="Heading1"/>
        <w:spacing w:after="120" w:before="280"/>
      </w:pPr>
      <w:r>
        <w:rPr>
          <w:b/>
          <w:bCs/>
          <w:color w:val="0D1B2E"/>
          <w:sz w:val="24"/>
          <w:szCs w:val="24"/>
        </w:rPr>
        <w:t xml:space="preserve">Article 5. Support et assistance</w:t>
      </w:r>
    </w:p>
    <w:p>
      <w:pPr>
        <w:spacing w:after="120" w:line="276"/>
        <w:jc w:val="both"/>
      </w:pPr>
      <w:r>
        <w:t xml:space="preserve">L'Éditeur met à la disposition du Client un service de support accessible par [canaux : téléphone, courriel, portail], aux jours et horaires suivants : [plages horaires].</w:t>
      </w:r>
    </w:p>
    <w:p>
      <w:pPr>
        <w:spacing w:after="120" w:line="276"/>
        <w:jc w:val="both"/>
      </w:pPr>
      <w:r>
        <w:t xml:space="preserve">Les demandes sont traitées selon leur niveau de criticité, les délais de prise en charge correspondants étant précisés en Annexe 2. Une demande bloquante affectant la continuité du Service fait l'objet d'un traitement prioritaire.</w:t>
      </w:r>
    </w:p>
    <w:p>
      <w:pPr>
        <w:spacing w:after="120" w:line="276"/>
        <w:jc w:val="both"/>
      </w:pPr>
      <w:r>
        <w:t xml:space="preserve">Le support couvre l'assistance à l'utilisation du Service, le diagnostic des anomalies et la mise en œuvre des correctifs. Il ne comprend pas les prestations de formation, de paramétrage avancé ou de développement, qui relèvent de prestations complémentaires.</w:t>
      </w:r>
    </w:p>
    <w:p>
      <w:pPr>
        <w:spacing w:after="120" w:line="276"/>
        <w:jc w:val="both"/>
      </w:pPr>
      <w:r>
        <w:t xml:space="preserve">Les interventions liées à un incident de sécurité ou à une violation de données suivent la procédure renforcée prévue à l'Article 8, indépendamment des modalités du support courant.</w:t>
      </w:r>
    </w:p>
    <w:p>
      <w:pPr>
        <w:spacing w:after="120" w:line="276"/>
        <w:jc w:val="both"/>
      </w:pPr>
      <w:r>
        <w:t xml:space="preserve">Le Client désigne un ou plusieurs interlocuteurs habilités à formuler les demandes de support et à recevoir les communications techniques de l'Éditeur.</w:t>
      </w:r>
    </w:p>
    <w:p>
      <w:pPr>
        <w:pStyle w:val="Heading1"/>
        <w:spacing w:after="120" w:before="280"/>
      </w:pPr>
      <w:r>
        <w:rPr>
          <w:b/>
          <w:bCs/>
          <w:color w:val="0D1B2E"/>
          <w:sz w:val="24"/>
          <w:szCs w:val="24"/>
        </w:rPr>
        <w:t xml:space="preserve">Article 6. Protection des données à caractère personnel</w:t>
      </w:r>
    </w:p>
    <w:p>
      <w:pPr>
        <w:spacing w:after="120" w:line="276"/>
        <w:jc w:val="both"/>
      </w:pPr>
      <w:r>
        <w:t xml:space="preserve">Dans le cadre du Service, le Client agit en qualité de responsable de traitement et l'Éditeur en qualité de sous-traitant, au sens du Règlement (UE) 2016/679 du 27 avril 2016 (le « RGPD »).</w:t>
      </w:r>
    </w:p>
    <w:p>
      <w:pPr>
        <w:spacing w:after="120" w:line="276"/>
        <w:jc w:val="both"/>
      </w:pPr>
      <w:r>
        <w:t xml:space="preserve">L'Éditeur ne traite les Données du Client que sur instruction documentée du Client, y compris en ce qui concerne les transferts hors de l'Union européenne, sauf obligation légale à laquelle il serait soumis. Les catégories de données, de personnes concernées, les finalités et la durée des traitements sont décrites dans l'acte de sous-traitance figurant en Annexe 3, conclu en application de l'article 28 du RGPD.</w:t>
      </w:r>
    </w:p>
    <w:p>
      <w:pPr>
        <w:spacing w:after="120" w:line="276"/>
        <w:jc w:val="both"/>
      </w:pPr>
      <w:r>
        <w:t xml:space="preserve">L'Éditeur s'engage à : (a) garantir la confidentialité des Données du Client et veiller à ce que les personnes autorisées à les traiter s'y soient engagées ; (b) mettre en œuvre les mesures techniques et organisationnelles appropriées prévues à l'Article 7 ; (c) assister le Client dans le respect de ses obligations, notamment au titre des demandes d'exercice de droits des personnes concernées, des analyses d'impact et des notifications de violation.</w:t>
      </w:r>
    </w:p>
    <w:p>
      <w:pPr>
        <w:spacing w:after="120" w:line="276"/>
        <w:jc w:val="both"/>
      </w:pPr>
      <w:r>
        <w:t xml:space="preserve">Les Données de santé constituant des données sensibles au sens de l'article 9 du RGPD, l'Éditeur applique un niveau de protection renforcé conforme à l'état de l'art et au régime HDS.</w:t>
      </w:r>
    </w:p>
    <w:p>
      <w:pPr>
        <w:spacing w:after="120" w:line="276"/>
        <w:jc w:val="both"/>
      </w:pPr>
      <w:r>
        <w:t xml:space="preserve">L'Éditeur ne recourt à un sous-traitant ultérieur qu'après information préalable du Client et sous réserve de l'absence d'objection motivée de ce dernier. Il impose au sous-traitant ultérieur, par contrat, les mêmes obligations que celles mises à sa charge par le présent article.</w:t>
      </w:r>
    </w:p>
    <w:p>
      <w:pPr>
        <w:spacing w:after="120" w:line="276"/>
        <w:jc w:val="both"/>
      </w:pPr>
      <w:r>
        <w:t xml:space="preserve">A l'expiration du contrat, l'Éditeur procède, selon le choix du Client, à la restitution puis à la suppression des Données du Client, dans les conditions de l'Article 11, sous réserve des durées de conservation imposées par la loi.</w:t>
      </w:r>
    </w:p>
    <w:p>
      <w:pPr>
        <w:pStyle w:val="Heading1"/>
        <w:spacing w:after="120" w:before="280"/>
      </w:pPr>
      <w:r>
        <w:rPr>
          <w:b/>
          <w:bCs/>
          <w:color w:val="0D1B2E"/>
          <w:sz w:val="24"/>
          <w:szCs w:val="24"/>
        </w:rPr>
        <w:t xml:space="preserve">Article 7. Hébergement et localisation des données</w:t>
      </w:r>
    </w:p>
    <w:p>
      <w:pPr>
        <w:spacing w:after="120" w:line="276"/>
        <w:jc w:val="both"/>
      </w:pPr>
      <w:r>
        <w:t xml:space="preserve">Les Données de santé traitées dans le cadre du Service sont hébergées par un hébergeur certifié pour l'hébergement de données de santé à caractère personnel, conformément à l'article L. 1111-8 du Code de la santé publique.</w:t>
      </w:r>
    </w:p>
    <w:p>
      <w:pPr>
        <w:spacing w:after="120" w:line="276"/>
        <w:jc w:val="both"/>
      </w:pPr>
      <w:r>
        <w:t xml:space="preserve">L'hébergeur retenu est [dénomination de l'hébergeur], titulaire de la certification HDS pour les activités concernées. L'Éditeur communique au Client, sur demande, les éléments justifiant de la validité de cette certification.</w:t>
      </w:r>
    </w:p>
    <w:p>
      <w:pPr>
        <w:spacing w:after="120" w:line="276"/>
        <w:jc w:val="both"/>
      </w:pPr>
      <w:r>
        <w:t xml:space="preserve">Les Données du Client sont hébergées et traitées au sein de l'Union européenne, sur des infrastructures situées dans les pays suivants : [liste des pays].</w:t>
      </w:r>
    </w:p>
    <w:p>
      <w:pPr>
        <w:spacing w:after="120" w:line="276"/>
        <w:jc w:val="both"/>
      </w:pPr>
      <w:r>
        <w:t xml:space="preserve">L'Éditeur documente la chaîne d'hébergement, y compris l'identité des sous-traitants d'infrastructure intervenant dans le stockage ou le traitement des Données du Client, dans l'acte de sous-traitance figurant en Annexe 3.</w:t>
      </w:r>
    </w:p>
    <w:p>
      <w:pPr>
        <w:spacing w:after="120" w:line="276"/>
        <w:jc w:val="both"/>
      </w:pPr>
      <w:r>
        <w:t xml:space="preserve">Tout transfert de Données du Client vers un pays situé hors de l'Union européenne est subordonné à l'existence d'un cadre juridique valable au titre des articles 44 et suivants du RGPD : décision d'adéquation, clauses contractuelles types ou garanties équivalentes. Un tel transfert ne peut intervenir sans l'accord préalable et écrit du Client.</w:t>
      </w:r>
    </w:p>
    <w:p>
      <w:pPr>
        <w:pStyle w:val="Heading1"/>
        <w:spacing w:after="120" w:before="280"/>
      </w:pPr>
      <w:r>
        <w:rPr>
          <w:b/>
          <w:bCs/>
          <w:color w:val="0D1B2E"/>
          <w:sz w:val="24"/>
          <w:szCs w:val="24"/>
        </w:rPr>
        <w:t xml:space="preserve">Article 8. Sécurité</w:t>
      </w:r>
    </w:p>
    <w:p>
      <w:pPr>
        <w:spacing w:after="120" w:line="276"/>
        <w:jc w:val="both"/>
      </w:pPr>
      <w:r>
        <w:t xml:space="preserve">L'Éditeur met en œuvre les mesures techniques et organisationnelles appropriées afin de garantir la confidentialité, l'intégrité, la disponibilité et la résilience du Service et des Données du Client, au regard des risques présentés par le traitement de Données de santé.</w:t>
      </w:r>
    </w:p>
    <w:p>
      <w:pPr>
        <w:spacing w:after="120" w:line="276"/>
        <w:jc w:val="both"/>
      </w:pPr>
      <w:r>
        <w:t xml:space="preserve">Ces mesures comprennent notamment : (a) le chiffrement des données en transit et au repos ; (b) la gestion des identités et le contrôle des habilitations selon le principe du moindre privilège ; (c) la journalisation des accès et des opérations sensibles, ainsi que la conservation des journaux pendant une durée appropriée ; (d) la réalisation de sauvegardes régulières et le contrôle périodique de leur restauration ; (e) le cloisonnement des environnements et la protection contre les codes malveillants.</w:t>
      </w:r>
    </w:p>
    <w:p>
      <w:pPr>
        <w:spacing w:after="120" w:line="276"/>
        <w:jc w:val="both"/>
      </w:pPr>
      <w:r>
        <w:t xml:space="preserve">L'Éditeur maintient un plan de continuité et de reprise d'activité adapté à la criticité du Service, dont les principales caractéristiques sont décrites en Annexe 2.</w:t>
      </w:r>
    </w:p>
    <w:p>
      <w:pPr>
        <w:spacing w:after="120" w:line="276"/>
        <w:jc w:val="both"/>
      </w:pPr>
      <w:r>
        <w:t xml:space="preserve">L'Éditeur procède ou fait procéder à des contrôles de sécurité périodiques et met en œuvre, sans délai injustifié, les mesures correctives nécessaires en cas de vulnérabilité identifiée.</w:t>
      </w:r>
    </w:p>
    <w:p>
      <w:pPr>
        <w:spacing w:after="120" w:line="276"/>
        <w:jc w:val="both"/>
      </w:pPr>
      <w:r>
        <w:t xml:space="preserve">Le Client s'engage, pour sa part, à préserver la confidentialité des identifiants remis à ses Utilisateurs, à sensibiliser ces derniers aux règles de sécurité et à signaler sans délai à l'Éditeur tout usage frauduleux ou toute compromission dont il aurait connaissance.</w:t>
      </w:r>
    </w:p>
    <w:p>
      <w:pPr>
        <w:pStyle w:val="Heading1"/>
        <w:spacing w:after="120" w:before="280"/>
      </w:pPr>
      <w:r>
        <w:rPr>
          <w:b/>
          <w:bCs/>
          <w:color w:val="0D1B2E"/>
          <w:sz w:val="24"/>
          <w:szCs w:val="24"/>
        </w:rPr>
        <w:t xml:space="preserve">Article 9. Violation de données à caractère personnel</w:t>
      </w:r>
    </w:p>
    <w:p>
      <w:pPr>
        <w:spacing w:after="120" w:line="276"/>
        <w:jc w:val="both"/>
      </w:pPr>
      <w:r>
        <w:t xml:space="preserve">En cas de violation de Données du Client, l'Éditeur en informe le Client sans délai injustifié après en avoir pris connaissance, et au plus tard dans un délai de [X] heures.</w:t>
      </w:r>
    </w:p>
    <w:p>
      <w:pPr>
        <w:spacing w:after="120" w:line="276"/>
        <w:jc w:val="both"/>
      </w:pPr>
      <w:r>
        <w:t xml:space="preserve">La notification adressée au Client comporte, dans la mesure des informations disponibles : la nature de la violation, les catégories et le nombre approximatif de personnes et d'enregistrements concernés, les conséquences probables, les mesures prises ou proposées pour y remédier et, le cas échéant, les mesures visant à en atténuer les effets.</w:t>
      </w:r>
    </w:p>
    <w:p>
      <w:pPr>
        <w:spacing w:after="120" w:line="276"/>
        <w:jc w:val="both"/>
      </w:pPr>
      <w:r>
        <w:t xml:space="preserve">L'Éditeur coopère avec le Client et lui apporte toute assistance raisonnable en vue des notifications éventuellement dues à l'autorité de contrôle et aux personnes concernées, ainsi que de la documentation de l'incident.</w:t>
      </w:r>
    </w:p>
    <w:p>
      <w:pPr>
        <w:spacing w:after="120" w:line="276"/>
        <w:jc w:val="both"/>
      </w:pPr>
      <w:r>
        <w:t xml:space="preserve">La notification d'une violation à l'autorité de contrôle et aux personnes concernées relève de la responsabilité du Client, en sa qualité de responsable de traitement, l'Éditeur ne procédant à aucune notification en son nom sans instruction du Client.</w:t>
      </w:r>
    </w:p>
    <w:p>
      <w:pPr>
        <w:spacing w:after="120" w:line="276"/>
        <w:jc w:val="both"/>
      </w:pPr>
      <w:r>
        <w:t xml:space="preserve">L'Éditeur tient un registre des violations de Données du Client et le communique au Client sur demande.</w:t>
      </w:r>
    </w:p>
    <w:p>
      <w:pPr>
        <w:pStyle w:val="Heading1"/>
        <w:spacing w:after="120" w:before="280"/>
      </w:pPr>
      <w:r>
        <w:rPr>
          <w:b/>
          <w:bCs/>
          <w:color w:val="0D1B2E"/>
          <w:sz w:val="24"/>
          <w:szCs w:val="24"/>
        </w:rPr>
        <w:t xml:space="preserve">Article 10. Prix et facturation</w:t>
      </w:r>
    </w:p>
    <w:p>
      <w:pPr>
        <w:spacing w:after="120" w:line="276"/>
        <w:jc w:val="both"/>
      </w:pPr>
      <w:r>
        <w:t xml:space="preserve">En contrepartie de l'accès au Service, le Client verse à l'Éditeur un abonnement d'un montant de [montant] euros hors taxes par [périodicité : mois / an], selon le périmètre défini en Annexe 1.</w:t>
      </w:r>
    </w:p>
    <w:p>
      <w:pPr>
        <w:spacing w:after="120" w:line="276"/>
        <w:jc w:val="both"/>
      </w:pPr>
      <w:r>
        <w:t xml:space="preserve">L'abonnement comprend l'accès au Service, les mises à jour correctives et évolutives standard, le support dans les conditions de l'Article 5 et les engagements de niveaux de service de l'Article 3. Les prestations complémentaires sont facturées en sus, selon les conditions de l'Annexe 1.</w:t>
      </w:r>
    </w:p>
    <w:p>
      <w:pPr>
        <w:spacing w:after="120" w:line="276"/>
        <w:jc w:val="both"/>
      </w:pPr>
      <w:r>
        <w:t xml:space="preserve">Les factures sont émises [périodicité de facturation] et sont payables dans un délai de [X] jours à compter de leur date d'émission, par [mode de paiement].</w:t>
      </w:r>
    </w:p>
    <w:p>
      <w:pPr>
        <w:spacing w:after="120" w:line="276"/>
        <w:jc w:val="both"/>
      </w:pPr>
      <w:r>
        <w:t xml:space="preserve">Tout retard de paiement entraîne de plein droit l'application de pénalités de retard au taux prévu à l'article L. 441-10 du Code de commerce, ainsi que l'indemnité forfaitaire pour frais de recouvrement d'un montant de quarante (40) euros, sans préjudice de la faculté pour l'Éditeur de suspendre le Service dans les conditions de l'Article 10.</w:t>
      </w:r>
    </w:p>
    <w:p>
      <w:pPr>
        <w:spacing w:after="120" w:line="276"/>
        <w:jc w:val="both"/>
      </w:pPr>
      <w:r>
        <w:t xml:space="preserve">Les prix pourront être révisés à chaque échéance de reconduction, moyennant un préavis de [X] mois. A défaut d'acceptation par le Client, ce dernier peut résilier le contrat à la date d'effet de la révision, sans indemnité.</w:t>
      </w:r>
    </w:p>
    <w:p>
      <w:pPr>
        <w:spacing w:after="120" w:line="276"/>
        <w:jc w:val="both"/>
      </w:pPr>
      <w:r>
        <w:t xml:space="preserve">Les prix s'entendent hors taxes. La taxe sur la valeur ajoutée et toute autre taxe applicable sont facturées en sus au taux en vigueur.</w:t>
      </w:r>
    </w:p>
    <w:p>
      <w:pPr>
        <w:pStyle w:val="Heading1"/>
        <w:spacing w:after="120" w:before="280"/>
      </w:pPr>
      <w:r>
        <w:rPr>
          <w:b/>
          <w:bCs/>
          <w:color w:val="0D1B2E"/>
          <w:sz w:val="24"/>
          <w:szCs w:val="24"/>
        </w:rPr>
        <w:t xml:space="preserve">Article 11. Durée, reconduction et résiliation</w:t>
      </w:r>
    </w:p>
    <w:p>
      <w:pPr>
        <w:spacing w:after="120" w:line="276"/>
        <w:jc w:val="both"/>
      </w:pPr>
      <w:r>
        <w:t xml:space="preserve">Le présent contrat prend effet à la date de sa signature, ou à la date de mise à disposition effective du Service si celle-ci est postérieure, pour une durée initiale de [X] mois.</w:t>
      </w:r>
    </w:p>
    <w:p>
      <w:pPr>
        <w:spacing w:after="120" w:line="276"/>
        <w:jc w:val="both"/>
      </w:pPr>
      <w:r>
        <w:t xml:space="preserve">A l'issue de la durée initiale, le contrat se reconduit tacitement par périodes successives de [X] mois, sauf dénonciation par l'une des Parties notifiée par lettre recommandée avec accusé de réception, moyennant un préavis de [X] mois avant l'échéance.</w:t>
      </w:r>
    </w:p>
    <w:p>
      <w:pPr>
        <w:spacing w:after="120" w:line="276"/>
        <w:jc w:val="both"/>
      </w:pPr>
      <w:r>
        <w:t xml:space="preserve">En cas de manquement grave de l'une des Parties à ses obligations, l'autre Partie peut résilier le contrat de plein droit [X] jours après une mise en demeure adressée par lettre recommandée avec accusé de réception restée sans effet, sans préjudice des dommages et intérêts éventuels.</w:t>
      </w:r>
    </w:p>
    <w:p>
      <w:pPr>
        <w:spacing w:after="120" w:line="276"/>
        <w:jc w:val="both"/>
      </w:pPr>
      <w:r>
        <w:t xml:space="preserve">L'Éditeur peut suspendre l'accès au Service en cas de défaut de paivement persistant après mise en demeure restée sans effet pendant [X] jours, ou en cas d'usage du Service portant atteinte à la sécurité du système ou aux droits des tiers. La suspension ne prive pas le Client de son droit à la restitution de ses données.</w:t>
      </w:r>
    </w:p>
    <w:p>
      <w:pPr>
        <w:spacing w:after="120" w:line="276"/>
        <w:jc w:val="both"/>
      </w:pPr>
      <w:r>
        <w:t xml:space="preserve">La résiliation, pour quelque cause que ce soit, entraîne l'application des dispositions de l'Article 11 relatives à la réversibilité et à la restitution des Données du Client.</w:t>
      </w:r>
    </w:p>
    <w:p>
      <w:pPr>
        <w:pStyle w:val="Heading1"/>
        <w:spacing w:after="120" w:before="280"/>
      </w:pPr>
      <w:r>
        <w:rPr>
          <w:b/>
          <w:bCs/>
          <w:color w:val="0D1B2E"/>
          <w:sz w:val="24"/>
          <w:szCs w:val="24"/>
        </w:rPr>
        <w:t xml:space="preserve">Article 12. Réversibilité et restitution des données</w:t>
      </w:r>
    </w:p>
    <w:p>
      <w:pPr>
        <w:spacing w:after="120" w:line="276"/>
        <w:jc w:val="both"/>
      </w:pPr>
      <w:r>
        <w:t xml:space="preserve">A l'expiration du contrat, quelle qu'en soit la cause, l'Éditeur assure la réversibilité du Service afin de permettre au Client de reprendre ses Données et, le cas échéant, de migrer vers une autre solution sans rupture d'exploitation.</w:t>
      </w:r>
    </w:p>
    <w:p>
      <w:pPr>
        <w:spacing w:after="120" w:line="276"/>
        <w:jc w:val="both"/>
      </w:pPr>
      <w:r>
        <w:t xml:space="preserve">L'Éditeur restitue au Client l'intégralité des Données du Client dans un format structuré, couramment utilisé et lisible par machine, dans un délai de [X] jours à compter de la fin du contrat ou de la demande du Client.</w:t>
      </w:r>
    </w:p>
    <w:p>
      <w:pPr>
        <w:spacing w:after="120" w:line="276"/>
        <w:jc w:val="both"/>
      </w:pPr>
      <w:r>
        <w:t xml:space="preserve">L'Éditeur apporte au Client, sur demande, une assistance à la migration selon des conditions définies d'un commun accord. Les prestations d'assistance excédant la simple restitution des données sont facturées selon les conditions de l'Annexe 1.</w:t>
      </w:r>
    </w:p>
    <w:p>
      <w:pPr>
        <w:spacing w:after="120" w:line="276"/>
        <w:jc w:val="both"/>
      </w:pPr>
      <w:r>
        <w:t xml:space="preserve">Après restitution et confirmation par le Client de la bonne réception des données, l'Éditeur procède à la suppression sécurisée de l'ensemble des copies des Données du Client détenues par lui-même et ses sous-traitants, et en délivre une attestation.</w:t>
      </w:r>
    </w:p>
    <w:p>
      <w:pPr>
        <w:spacing w:after="120" w:line="276"/>
        <w:jc w:val="both"/>
      </w:pPr>
      <w:r>
        <w:t xml:space="preserve">La suppression intervient sous réserve des durées de conservation et d'archivage imposées par la loi, notamment au titre des données de santé. Les données conservées à ce titre demeurent protégées dans les conditions du présent contrat jusqu'à leur suppression effective.</w:t>
      </w:r>
    </w:p>
    <w:p>
      <w:pPr>
        <w:spacing w:after="120" w:line="276"/>
        <w:jc w:val="both"/>
      </w:pPr>
      <w:r>
        <w:t xml:space="preserve">L'Éditeur maintient l'accès au Service pendant la période de réversibilité, dans des conditions permettant au Client de mener à bien la reprise de ses données.</w:t>
      </w:r>
    </w:p>
    <w:p>
      <w:pPr>
        <w:pStyle w:val="Heading1"/>
        <w:spacing w:after="120" w:before="280"/>
      </w:pPr>
      <w:r>
        <w:rPr>
          <w:b/>
          <w:bCs/>
          <w:color w:val="0D1B2E"/>
          <w:sz w:val="24"/>
          <w:szCs w:val="24"/>
        </w:rPr>
        <w:t xml:space="preserve">Article 13. Responsabilité</w:t>
      </w:r>
    </w:p>
    <w:p>
      <w:pPr>
        <w:spacing w:after="120" w:line="276"/>
        <w:jc w:val="both"/>
      </w:pPr>
      <w:r>
        <w:t xml:space="preserve">Chaque Partie répond des dommages directs causés à l'autre Partie du fait de l'inexécution de ses obligations, dans les conditions de l'article 1231-1 du Code civil.</w:t>
      </w:r>
    </w:p>
    <w:p>
      <w:pPr>
        <w:spacing w:after="120" w:line="276"/>
        <w:jc w:val="both"/>
      </w:pPr>
      <w:r>
        <w:t xml:space="preserve">La responsabilité de l'Éditeur au titre du présent contrat, toutes causes confondues, est limitée au montant total des sommes versées par le Client au titre de l'abonnement au cours des [X] mois précédant le fait générateur du dommage.</w:t>
      </w:r>
    </w:p>
    <w:p>
      <w:pPr>
        <w:spacing w:after="120" w:line="276"/>
        <w:jc w:val="both"/>
      </w:pPr>
      <w:r>
        <w:t xml:space="preserve">L'Éditeur n'est pas tenu de réparer les dommages indirects, tels que la perte de chiffre d'affaires, de bénéfice ou d'exploitation, l'atteinte à l'image ou le préjudice commercial.</w:t>
      </w:r>
    </w:p>
    <w:p>
      <w:pPr>
        <w:spacing w:after="120" w:line="276"/>
        <w:jc w:val="both"/>
      </w:pPr>
      <w:r>
        <w:t xml:space="preserve">Les limitations et exclusions qui précèdent ne s'appliquent ni en cas de faute lourde ou dolosive, ni en cas de dommage corporel, ni en cas de manquement aux obligations de protection des Données du Client, ni dans la mesure où elles priveraient de sa substance l'obligation essentielle de l'Éditeur, conformément à l'article 1170 du Code civil.</w:t>
      </w:r>
    </w:p>
    <w:p>
      <w:pPr>
        <w:spacing w:after="120" w:line="276"/>
        <w:jc w:val="both"/>
      </w:pPr>
      <w:r>
        <w:t xml:space="preserve">Le Client est responsable de la licéité des Données qu'il traite au moyen du Service, de la détermination des finalités des traitements et du respect de ses propres obligations en qualité de responsable de traitement.</w:t>
      </w:r>
    </w:p>
    <w:p>
      <w:pPr>
        <w:spacing w:after="120" w:line="276"/>
        <w:jc w:val="both"/>
      </w:pPr>
      <w:r>
        <w:t xml:space="preserve">Chaque Partie souscrit et maintient, pendant toute la durée du contrat, une assurance couvrant les conséquences pécuniaires de sa responsabilité civile professionnelle, et en justifie sur demande.</w:t>
      </w:r>
    </w:p>
    <w:p>
      <w:pPr>
        <w:pStyle w:val="Heading1"/>
        <w:spacing w:after="120" w:before="280"/>
      </w:pPr>
      <w:r>
        <w:rPr>
          <w:b/>
          <w:bCs/>
          <w:color w:val="0D1B2E"/>
          <w:sz w:val="24"/>
          <w:szCs w:val="24"/>
        </w:rPr>
        <w:t xml:space="preserve">Article 14. Confidentialité, droit applicable et litiges</w:t>
      </w:r>
    </w:p>
    <w:p>
      <w:pPr>
        <w:spacing w:after="120" w:line="276"/>
        <w:jc w:val="both"/>
      </w:pPr>
      <w:r>
        <w:t xml:space="preserve">Chaque Partie s'engage à préserver la confidentialité des informations de toute nature communiquées par l'autre Partie ou dont elle aurait connaissance à l'occasion du contrat, et à ne les utiliser que pour les besoins de son exécution.</w:t>
      </w:r>
    </w:p>
    <w:p>
      <w:pPr>
        <w:spacing w:after="120" w:line="276"/>
        <w:jc w:val="both"/>
      </w:pPr>
      <w:r>
        <w:t xml:space="preserve">Cette obligation de confidentialité subsiste pendant toute la durée du contrat et pendant [X] ans après son terme. Elle ne s'applique pas aux informations tombées dans le domaine public sans manquement de la Partie réceptrice, ni à celles dont la divulgation est imposée par la loi ou une autorité compétente.</w:t>
      </w:r>
    </w:p>
    <w:p>
      <w:pPr>
        <w:spacing w:after="120" w:line="276"/>
        <w:jc w:val="both"/>
      </w:pPr>
      <w:r>
        <w:t xml:space="preserve">Le présent contrat est soumis au droit français.</w:t>
      </w:r>
    </w:p>
    <w:p>
      <w:pPr>
        <w:spacing w:after="120" w:line="276"/>
        <w:jc w:val="both"/>
      </w:pPr>
      <w:r>
        <w:t xml:space="preserve">En cas de différend relatif à la formation, l'interprétation ou l'exécution du contrat, les Parties s'efforcent de rechercher une solution amiable dans un délai de [X] jours à compter de la notification du différend par l'une à l'autre.</w:t>
      </w:r>
    </w:p>
    <w:p>
      <w:pPr>
        <w:spacing w:after="120" w:line="276"/>
        <w:jc w:val="both"/>
      </w:pPr>
      <w:r>
        <w:t xml:space="preserve">A défaut d'accord amiable, le différend est soumis à la compétence exclusive du Tribunal de commerce de [ville], nonobstant pluralité de défendeurs ou appel en garantie.</w:t>
      </w:r>
    </w:p>
    <w:p>
      <w:pPr>
        <w:spacing w:after="120" w:line="276"/>
        <w:jc w:val="both"/>
      </w:pPr>
      <w:r>
        <w:t xml:space="preserve">Les annexes au présent contrat en font partie intégrante. En cas de contradiction entre le corps du contrat et une annexe, les stipulations du corps du contrat prévalent, sauf disposition expresse contraire.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l'Éditeur : [Nom, prénom, qualité, signature et cachet]</w:t>
      </w:r>
    </w:p>
    <w:p>
      <w:pPr>
        <w:spacing w:after="120" w:line="276"/>
        <w:jc w:val="both"/>
      </w:pPr>
      <w:r>
        <w:t xml:space="preserve">Pour le Client : [Nom, prénom, qualité, signature et cachet]</w:t>
      </w:r>
    </w:p>
    <w:p>
      <w:pPr>
        <w:spacing w:after="120" w:line="276"/>
        <w:jc w:val="both"/>
      </w:pPr>
      <w:r>
        <w:t xml:space="preserve">Annexe 1 : Périmètre de l'abonnement, prestations complémentaires et conditions financières.</w:t>
      </w:r>
    </w:p>
    <w:p>
      <w:pPr>
        <w:spacing w:after="120" w:line="276"/>
        <w:jc w:val="both"/>
      </w:pPr>
      <w:r>
        <w:t xml:space="preserve">Annexe 2 : Niveaux de service, criticité, pénalités et plan de continuité.</w:t>
      </w:r>
    </w:p>
    <w:p>
      <w:pPr>
        <w:spacing w:after="120" w:line="276"/>
        <w:jc w:val="both"/>
      </w:pPr>
      <w:r>
        <w:t xml:space="preserve">Annexe 3 : Acte de sous-traitance au sens de l'article 28 du RGPD et chaîne d'hébergement.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SERVICE LOGICIEL EN LIGNE (SAAS) PORTANT SUR DES DONNEES DE SANTE</dc:title>
  <dc:creator>Pactolane</dc:creator>
  <dc:description>Modele de contrat Pactolane, a adapter.</dc:description>
  <cp:lastModifiedBy>Un-named</cp:lastModifiedBy>
  <cp:revision>1</cp:revision>
  <dcterms:created xsi:type="dcterms:W3CDTF">2026-07-19T22:13:58.639Z</dcterms:created>
  <dcterms:modified xsi:type="dcterms:W3CDTF">2026-07-19T22:13:58.639Z</dcterms:modified>
</cp:coreProperties>
</file>

<file path=docProps/custom.xml><?xml version="1.0" encoding="utf-8"?>
<Properties xmlns="http://schemas.openxmlformats.org/officeDocument/2006/custom-properties" xmlns:vt="http://schemas.openxmlformats.org/officeDocument/2006/docPropsVTypes"/>
</file>