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D'ÉMISSION ET DE SOUSCRIPTION DE BONS DE SOUSCRIPTION D'ACTIONS ACCORD D'INVESTISSEMENT RAPIDE (BSA-AIR)</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société par actions simplifiée au capital de [montant] euros, dont le siège social est situé [adresse complète], immatriculée au Registre du commerce et des sociétés de [ville] sous le numéro [numéro SIREN], représentée par [Nom et Prénom], agissant en qualité de [Président / Directeur général] dûment habilité à l'effet des présentes,</w:t>
      </w:r>
    </w:p>
    <w:p>
      <w:pPr>
        <w:spacing w:after="120" w:line="276"/>
        <w:jc w:val="both"/>
      </w:pPr>
      <w:r>
        <w:t xml:space="preserve">Ci-après dénommée « la Société »,</w:t>
      </w:r>
    </w:p>
    <w:p>
      <w:pPr>
        <w:spacing w:after="120" w:line="276"/>
        <w:jc w:val="both"/>
      </w:pPr>
      <w:r>
        <w:t xml:space="preserve">D'une part,</w:t>
      </w:r>
    </w:p>
    <w:p>
      <w:pPr>
        <w:spacing w:after="120" w:line="276"/>
        <w:jc w:val="both"/>
      </w:pPr>
      <w:r>
        <w:t xml:space="preserve">ET :</w:t>
      </w:r>
    </w:p>
    <w:p>
      <w:pPr>
        <w:spacing w:after="120" w:line="276"/>
        <w:jc w:val="both"/>
      </w:pPr>
      <w:r>
        <w:t xml:space="preserve">[Pour une personne physique :] Monsieur / Madame [Nom et Prénom], né(e) le [date] à [ville], de nationalité [nationalité], demeurant [adresse complète],</w:t>
      </w:r>
    </w:p>
    <w:p>
      <w:pPr>
        <w:spacing w:after="120" w:line="276"/>
        <w:jc w:val="both"/>
      </w:pPr>
      <w:r>
        <w:t xml:space="preserve">[Pour une personne morale :] La société [Dénomination sociale], [forme sociale] au capital de [montant] euros, dont le siège social est situé [adresse complète], immatriculée au Registre du commerce et des sociétés de [ville] sous le numéro [numéro SIREN], représentée par [Nom et Prénom] en qualité de [fonction] dûment habilité(e),</w:t>
      </w:r>
    </w:p>
    <w:p>
      <w:pPr>
        <w:spacing w:after="120" w:line="276"/>
        <w:jc w:val="both"/>
      </w:pPr>
      <w:r>
        <w:t xml:space="preserve">Ci-après dénommé(e) « l'Investisseur »,</w:t>
      </w:r>
    </w:p>
    <w:p>
      <w:pPr>
        <w:spacing w:after="120" w:line="276"/>
        <w:jc w:val="both"/>
      </w:pPr>
      <w:r>
        <w:t xml:space="preserve">D'autre part,</w:t>
      </w:r>
    </w:p>
    <w:p>
      <w:pPr>
        <w:spacing w:after="120" w:line="276"/>
        <w:jc w:val="both"/>
      </w:pPr>
      <w:r>
        <w:t xml:space="preserve">La Société et l'Investisseur étant ci-après désignés individuellement une « Partie » et collectivement les « Parties ».</w:t>
      </w:r>
    </w:p>
    <w:p>
      <w:pPr>
        <w:spacing w:after="120" w:line="276"/>
        <w:jc w:val="both"/>
      </w:pPr>
      <w:r>
        <w:t xml:space="preserve">IL A PRÉALABLEMENT ÉTÉ EXPOSÉ CE QUI SUIT :</w:t>
      </w:r>
    </w:p>
    <w:p>
      <w:pPr>
        <w:spacing w:after="120" w:line="276"/>
        <w:jc w:val="both"/>
      </w:pPr>
      <w:r>
        <w:t xml:space="preserve">La Société est une société par actions habilitée, en application des articles L. 228-91 et suivants du Code de commerce, à émettre des bons de souscription d'actions donnant accès à son capital.</w:t>
      </w:r>
    </w:p>
    <w:p>
      <w:pPr>
        <w:spacing w:after="120" w:line="276"/>
        <w:jc w:val="both"/>
      </w:pPr>
      <w:r>
        <w:t xml:space="preserve">La Société souhaite financer son développement au moyen d'un apport en fonds propres différé, sans fixer dès à présent la valorisation de la Société, celle-ci ayant vocation à être déterminée lors d'un tour de financement ultérieur.</w:t>
      </w:r>
    </w:p>
    <w:p>
      <w:pPr>
        <w:spacing w:after="120" w:line="276"/>
        <w:jc w:val="both"/>
      </w:pPr>
      <w:r>
        <w:t xml:space="preserve">L'Investisseur souhaite apporter les fonds nécessaires à ce développement en contrepartie de l'émission à son profit de bons de souscription d'actions, dont les conditions d'exercice sont définies au présent contrat selon le mécanisme dit « accord d'investissement rapide » (AIR).</w:t>
      </w:r>
    </w:p>
    <w:p>
      <w:pPr>
        <w:spacing w:after="120" w:line="276"/>
        <w:jc w:val="both"/>
      </w:pPr>
      <w:r>
        <w:t xml:space="preserve">Les Parties se sont rapprochées et sont convenues des modalités d'émission et de souscription de ces bons dans les conditions ci-après.</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l'application du présent contrat, les termes ci-après, employés avec une majuscule, ont la signification suivante :</w:t>
      </w:r>
    </w:p>
    <w:p>
      <w:pPr>
        <w:spacing w:after="120" w:line="276"/>
        <w:jc w:val="both"/>
      </w:pPr>
      <w:r>
        <w:t xml:space="preserve">(a) « Actions » : les actions ordinaires composant le capital de la Société.</w:t>
      </w:r>
    </w:p>
    <w:p>
      <w:pPr>
        <w:spacing w:after="120" w:line="276"/>
        <w:jc w:val="both"/>
      </w:pPr>
      <w:r>
        <w:t xml:space="preserve">(b) « Bons » : les bons de souscription d'actions émis au profit de l'Investisseur en vertu du présent contrat, régis par les articles L. 228-91 et suivants du Code de commerce.</w:t>
      </w:r>
    </w:p>
    <w:p>
      <w:pPr>
        <w:spacing w:after="120" w:line="276"/>
        <w:jc w:val="both"/>
      </w:pPr>
      <w:r>
        <w:t xml:space="preserve">(c) « Montant Investi » : la somme versée par l'Investisseur à la Société au titre de la souscription des Bons, telle que fixée à l'article 2.</w:t>
      </w:r>
    </w:p>
    <w:p>
      <w:pPr>
        <w:spacing w:after="120" w:line="276"/>
        <w:jc w:val="both"/>
      </w:pPr>
      <w:r>
        <w:t xml:space="preserve">(d) « Tour Qualifié » : toute augmentation de capital de la Société par émission d'Actions nouvelles souscrites en numéraire pour un montant total, prime d'émission incluse, au moins égal à [montant seuil, par exemple 500 000] euros, réalisée postérieurement à la date de signature du présent contrat.</w:t>
      </w:r>
    </w:p>
    <w:p>
      <w:pPr>
        <w:spacing w:after="120" w:line="276"/>
        <w:jc w:val="both"/>
      </w:pPr>
      <w:r>
        <w:t xml:space="preserve">(e) « Prix par Action du Tour » : le prix de souscription par Action, prime d'émission incluse, payé par les investisseurs lors du Tour Qualifié.</w:t>
      </w:r>
    </w:p>
    <w:p>
      <w:pPr>
        <w:spacing w:after="120" w:line="276"/>
        <w:jc w:val="both"/>
      </w:pPr>
      <w:r>
        <w:t xml:space="preserve">(f) « Décote » : la réduction appliquée au Prix par Action du Tour au bénéfice de l'Investisseur, dont le taux est fixé à l'article 4.</w:t>
      </w:r>
    </w:p>
    <w:p>
      <w:pPr>
        <w:spacing w:after="120" w:line="276"/>
        <w:jc w:val="both"/>
      </w:pPr>
      <w:r>
        <w:t xml:space="preserve">(g) « Plafond de Valorisation » : la valorisation maximale de la Société, avant réalisation du Tour Qualifié et hors dilution résultant des Bons, retenue pour le calcul du prix de conversion, telle que fixée à l'article 4.</w:t>
      </w:r>
    </w:p>
    <w:p>
      <w:pPr>
        <w:spacing w:after="120" w:line="276"/>
        <w:jc w:val="both"/>
      </w:pPr>
      <w:r>
        <w:t xml:space="preserve">(h) « Prix de Conversion » : le prix par Action retenu pour l'exercice des Bons, déterminé conformément à l'article 3.</w:t>
      </w:r>
    </w:p>
    <w:p>
      <w:pPr>
        <w:spacing w:after="120" w:line="276"/>
        <w:jc w:val="both"/>
      </w:pPr>
      <w:r>
        <w:t xml:space="preserve">(i) « Événement de Liquidité » : la cession ou le transfert, en une ou plusieurs opérations, du contrôle de la Société au sens de l'article L. 233-3 du Code de commerce, la cession de la totalité ou de la quasi-totalité de ses actifs, ou toute opération de fusion emportant un changement de contrôle.</w:t>
      </w:r>
    </w:p>
    <w:p>
      <w:pPr>
        <w:spacing w:after="120" w:line="276"/>
        <w:jc w:val="both"/>
      </w:pPr>
      <w:r>
        <w:t xml:space="preserve">(j) « Date d'Échéance » : la date au-delà de laquelle, à défaut de survenance d'un Tour Qualifié ou d'un Événement de Liquidité, les Bons sont exercés dans les conditions de l'article 6.</w:t>
      </w:r>
    </w:p>
    <w:p>
      <w:pPr>
        <w:spacing w:after="120" w:line="276"/>
        <w:jc w:val="both"/>
      </w:pPr>
      <w:r>
        <w:t xml:space="preserve">(k) « Date de Réalisation » : la date de survenance du premier des événements suivants : Tour Qualifié, Événement de Liquidité ou Date d'Échéance.</w:t>
      </w:r>
    </w:p>
    <w:p>
      <w:pPr>
        <w:pStyle w:val="Heading1"/>
        <w:spacing w:after="120" w:before="280"/>
      </w:pPr>
      <w:r>
        <w:rPr>
          <w:b/>
          <w:bCs/>
          <w:color w:val="0D1B2E"/>
          <w:sz w:val="24"/>
          <w:szCs w:val="24"/>
        </w:rPr>
        <w:t xml:space="preserve">Article 2. Montant investi et émission des bons</w:t>
      </w:r>
    </w:p>
    <w:p>
      <w:pPr>
        <w:spacing w:after="120" w:line="276"/>
        <w:jc w:val="both"/>
      </w:pPr>
      <w:r>
        <w:t xml:space="preserve">L'Investisseur s'engage à verser à la Société un Montant Investi de [montant en chiffres] euros ([montant en lettres] euros).</w:t>
      </w:r>
    </w:p>
    <w:p>
      <w:pPr>
        <w:spacing w:after="120" w:line="276"/>
        <w:jc w:val="both"/>
      </w:pPr>
      <w:r>
        <w:t xml:space="preserve">Le versement du Montant Investi est effectué à la date de signature des présentes, par virement bancaire sur le compte de la Société dont les références figurent en annexe, ou dans un délai de [cinq (5)] jours ouvrés à compter de cette date.</w:t>
      </w:r>
    </w:p>
    <w:p>
      <w:pPr>
        <w:spacing w:after="120" w:line="276"/>
        <w:jc w:val="both"/>
      </w:pPr>
      <w:r>
        <w:t xml:space="preserve">En contrepartie de ce versement, la Société émet au profit de l'Investisseur [nombre] Bons, chacun donnant droit à souscrire des Actions dans les conditions définies au présent contrat. Le prix de souscription de chaque Bon est fixé à [un (1)] euro, réglé par imputation sur le Montant Investi.</w:t>
      </w:r>
    </w:p>
    <w:p>
      <w:pPr>
        <w:spacing w:after="120" w:line="276"/>
        <w:jc w:val="both"/>
      </w:pPr>
      <w:r>
        <w:t xml:space="preserve">L'émission des Bons est décidée par la collectivité des associés de la Société, statuant dans les conditions prévues par les statuts et par les articles L. 225-129, L. 228-91 et L. 228-92 du Code de commerce. La collectivité des associés supprime, au profit nominatif de l'Investisseur, le droit préférentiel de souscription attaché aux Bons et aux Actions à provenir de leur exercice, en application de l'article L. 225-138 du Code de commerce.</w:t>
      </w:r>
    </w:p>
    <w:p>
      <w:pPr>
        <w:spacing w:after="120" w:line="276"/>
        <w:jc w:val="both"/>
      </w:pPr>
      <w:r>
        <w:t xml:space="preserve">La Société remet à l'Investisseur, au plus tard le jour de la signature, copie du procès-verbal de la décision collective ayant autorisé l'émission des Bons et la suppression du droit préférentiel de souscription.</w:t>
      </w:r>
    </w:p>
    <w:p>
      <w:pPr>
        <w:spacing w:after="120" w:line="276"/>
        <w:jc w:val="both"/>
      </w:pPr>
      <w:r>
        <w:t xml:space="preserve">Les Bons sont incessibles et intransmissibles, sauf accord préalable et écrit de la Société, jusqu'à leur exercice ou leur caducité.</w:t>
      </w:r>
    </w:p>
    <w:p>
      <w:pPr>
        <w:spacing w:after="120" w:line="276"/>
        <w:jc w:val="both"/>
      </w:pPr>
      <w:r>
        <w:t xml:space="preserve">Les Bons sont inscrits en compte au nom de l'Investisseur dans les registres de la Société à la date de leur émission.</w:t>
      </w:r>
    </w:p>
    <w:p>
      <w:pPr>
        <w:pStyle w:val="Heading1"/>
        <w:spacing w:after="120" w:before="280"/>
      </w:pPr>
      <w:r>
        <w:rPr>
          <w:b/>
          <w:bCs/>
          <w:color w:val="0D1B2E"/>
          <w:sz w:val="24"/>
          <w:szCs w:val="24"/>
        </w:rPr>
        <w:t xml:space="preserve">Article 3. Exercice des bons en cas de tour qualifié</w:t>
      </w:r>
    </w:p>
    <w:p>
      <w:pPr>
        <w:spacing w:after="120" w:line="276"/>
        <w:jc w:val="both"/>
      </w:pPr>
      <w:r>
        <w:t xml:space="preserve">En cas de survenance d'un Tour Qualifié, les Bons sont automatiquement exercés à la date de réalisation de ce tour, sans qu'aucune formalité complémentaire ne soit requise de la part de l'Investisseur.</w:t>
      </w:r>
    </w:p>
    <w:p>
      <w:pPr>
        <w:spacing w:after="120" w:line="276"/>
        <w:jc w:val="both"/>
      </w:pPr>
      <w:r>
        <w:t xml:space="preserve">L'exercice des Bons donne droit à l'Investisseur à un nombre d'Actions égal au Montant Investi divisé par le Prix de Conversion, arrondi à l'unité inférieure.</w:t>
      </w:r>
    </w:p>
    <w:p>
      <w:pPr>
        <w:spacing w:after="120" w:line="276"/>
        <w:jc w:val="both"/>
      </w:pPr>
      <w:r>
        <w:t xml:space="preserve">Le Prix de Conversion est égal au plus faible des deux montants suivants :</w:t>
      </w:r>
    </w:p>
    <w:p>
      <w:pPr>
        <w:spacing w:after="120" w:line="276"/>
        <w:jc w:val="both"/>
      </w:pPr>
      <w:r>
        <w:t xml:space="preserve">(a) le Prix par Action du Tour diminué de la Décote ; et</w:t>
      </w:r>
    </w:p>
    <w:p>
      <w:pPr>
        <w:spacing w:after="120" w:line="276"/>
        <w:jc w:val="both"/>
      </w:pPr>
      <w:r>
        <w:t xml:space="preserve">(b) le prix par Action résultant de l'application du Plafond de Valorisation, calculé en divisant le Plafond de Valorisation par le nombre d'Actions composant le capital de la Société immédiatement avant la réalisation du Tour Qualifié, sur une base pleinement diluée hors Bons.</w:t>
      </w:r>
    </w:p>
    <w:p>
      <w:pPr>
        <w:spacing w:after="120" w:line="276"/>
        <w:jc w:val="both"/>
      </w:pPr>
      <w:r>
        <w:t xml:space="preserve">L'Investisseur bénéficie ainsi du plus favorable de ces deux paramètres. Un exemple chiffré de calcul figure en annexe du présent contrat, à titre purement illustratif et sans valeur contraignante quant aux montants réels.</w:t>
      </w:r>
    </w:p>
    <w:p>
      <w:pPr>
        <w:spacing w:after="120" w:line="276"/>
        <w:jc w:val="both"/>
      </w:pPr>
      <w:r>
        <w:t xml:space="preserve">Les Actions issues de l'exercice des Bons sont émises par voie d'augmentation de capital et libérées par compensation avec la créance de restitution du Montant Investi née de l'exercice. Elles confèrent à l'Investisseur les mêmes droits que les Actions émises dans le cadre du Tour Qualifié, sous réserve des stipulations du pacte d'associés conclu à cette occasion.</w:t>
      </w:r>
    </w:p>
    <w:p>
      <w:pPr>
        <w:spacing w:after="120" w:line="276"/>
        <w:jc w:val="both"/>
      </w:pPr>
      <w:r>
        <w:t xml:space="preserve">L'Investisseur s'engage à adhérer, à la date de son entrée au capital, au pacte d'associés en vigueur au sein de la Société, dans les conditions applicables aux investisseurs du Tour Qualifié.</w:t>
      </w:r>
    </w:p>
    <w:p>
      <w:pPr>
        <w:pStyle w:val="Heading1"/>
        <w:spacing w:after="120" w:before="280"/>
      </w:pPr>
      <w:r>
        <w:rPr>
          <w:b/>
          <w:bCs/>
          <w:color w:val="0D1B2E"/>
          <w:sz w:val="24"/>
          <w:szCs w:val="24"/>
        </w:rPr>
        <w:t xml:space="preserve">Article 4. Décote et plafond de valorisation</w:t>
      </w:r>
    </w:p>
    <w:p>
      <w:pPr>
        <w:spacing w:after="120" w:line="276"/>
        <w:jc w:val="both"/>
      </w:pPr>
      <w:r>
        <w:t xml:space="preserve">La Décote applicable au Prix par Action du Tour est fixée à [vingt (20)] pour cent.</w:t>
      </w:r>
    </w:p>
    <w:p>
      <w:pPr>
        <w:spacing w:after="120" w:line="276"/>
        <w:jc w:val="both"/>
      </w:pPr>
      <w:r>
        <w:t xml:space="preserve">Le Plafond de Valorisation est fixé à [montant en chiffres] euros ([montant en lettres] euros).</w:t>
      </w:r>
    </w:p>
    <w:p>
      <w:pPr>
        <w:spacing w:after="120" w:line="276"/>
        <w:jc w:val="both"/>
      </w:pPr>
      <w:r>
        <w:t xml:space="preserve">Ces deux paramètres ne se cumulent pas : ils sont mis en concurrence lors de l'exercice des Bons, seul le plus favorable à l'Investisseur, au sens de l'article 3, étant retenu pour déterminer le Prix de Conversion.</w:t>
      </w:r>
    </w:p>
    <w:p>
      <w:pPr>
        <w:spacing w:after="120" w:line="276"/>
        <w:jc w:val="both"/>
      </w:pPr>
      <w:r>
        <w:t xml:space="preserve">En cas d'opération affectant le nombre ou la valeur nominale des Actions entre la date de signature et la Date de Réalisation, notamment division ou regroupement d'Actions, incorporation de réserves ou distribution d'Actions gratuites, le Plafond de Valorisation et le nombre d'Actions retenu pour le calcul sont ajustés de manière à préserver les droits de l'Investisseur.</w:t>
      </w:r>
    </w:p>
    <w:p>
      <w:pPr>
        <w:pStyle w:val="Heading1"/>
        <w:spacing w:after="120" w:before="280"/>
      </w:pPr>
      <w:r>
        <w:rPr>
          <w:b/>
          <w:bCs/>
          <w:color w:val="0D1B2E"/>
          <w:sz w:val="24"/>
          <w:szCs w:val="24"/>
        </w:rPr>
        <w:t xml:space="preserve">Article 5. Sort des bons en cas d'événement de liquidité</w:t>
      </w:r>
    </w:p>
    <w:p>
      <w:pPr>
        <w:spacing w:after="120" w:line="276"/>
        <w:jc w:val="both"/>
      </w:pPr>
      <w:r>
        <w:t xml:space="preserve">En cas de survenance d'un Événement de Liquidité avant tout Tour Qualifié et avant la Date d'Échéance, l'Investisseur bénéficie, à son choix, de l'une des deux options suivantes :</w:t>
      </w:r>
    </w:p>
    <w:p>
      <w:pPr>
        <w:spacing w:after="120" w:line="276"/>
        <w:jc w:val="both"/>
      </w:pPr>
      <w:r>
        <w:t xml:space="preserve">(a) l'exercice des Bons sur la base d'une valorisation de la Société égale au Plafond de Valorisation, donnant droit à un nombre d'Actions calculé selon la méthode de l'article 3, l'Investisseur participant alors à l'Événement de Liquidité au même titre que les autres associés ; ou</w:t>
      </w:r>
    </w:p>
    <w:p>
      <w:pPr>
        <w:spacing w:after="120" w:line="276"/>
        <w:jc w:val="both"/>
      </w:pPr>
      <w:r>
        <w:t xml:space="preserve">(b) le versement par la Société d'une somme égale à [deux (2)] fois le Montant Investi, à titre de contrepartie de la caducité des Bons, exigible à la date de réalisation de l'Événement de Liquidité.</w:t>
      </w:r>
    </w:p>
    <w:p>
      <w:pPr>
        <w:spacing w:after="120" w:line="276"/>
        <w:jc w:val="both"/>
      </w:pPr>
      <w:r>
        <w:t xml:space="preserve">L'Investisseur notifie son choix à la Société dans un délai de [dix (10)] jours ouvrés à compter de la réception de l'information relative à l'Événement de Liquidité. À défaut de choix exprimé dans ce délai, l'option (a) est réputée retenue.</w:t>
      </w:r>
    </w:p>
    <w:p>
      <w:pPr>
        <w:spacing w:after="120" w:line="276"/>
        <w:jc w:val="both"/>
      </w:pPr>
      <w:r>
        <w:t xml:space="preserve">La Société s'engage à informer l'Investisseur de tout projet susceptible de constituer un Événement de Liquidité dès qu'il présente un caractère suffisamment avancé, et en tout état de cause au moins [quinze (15)] jours avant sa réalisation.</w:t>
      </w:r>
    </w:p>
    <w:p>
      <w:pPr>
        <w:pStyle w:val="Heading1"/>
        <w:spacing w:after="120" w:before="280"/>
      </w:pPr>
      <w:r>
        <w:rPr>
          <w:b/>
          <w:bCs/>
          <w:color w:val="0D1B2E"/>
          <w:sz w:val="24"/>
          <w:szCs w:val="24"/>
        </w:rPr>
        <w:t xml:space="preserve">Article 6. Échéance</w:t>
      </w:r>
    </w:p>
    <w:p>
      <w:pPr>
        <w:spacing w:after="120" w:line="276"/>
        <w:jc w:val="both"/>
      </w:pPr>
      <w:r>
        <w:t xml:space="preserve">La Date d'Échéance est fixée au [date, par exemple 36 mois après la signature], soit un délai de [trente-six (36)] mois à compter de la date de signature du présent contrat.</w:t>
      </w:r>
    </w:p>
    <w:p>
      <w:pPr>
        <w:spacing w:after="120" w:line="276"/>
        <w:jc w:val="both"/>
      </w:pPr>
      <w:r>
        <w:t xml:space="preserve">Si, à la Date d'Échéance, aucun Tour Qualifié ni aucun Événement de Liquidité n'est intervenu, les Bons sont automatiquement exercés à cette date sur la base d'une valorisation de la Société égale au Plafond de Valorisation, le nombre d'Actions attribuées à l'Investisseur étant déterminé selon la méthode définie à l'article 3.</w:t>
      </w:r>
    </w:p>
    <w:p>
      <w:pPr>
        <w:spacing w:after="120" w:line="276"/>
        <w:jc w:val="both"/>
      </w:pPr>
      <w:r>
        <w:t xml:space="preserve">À défaut d'accord des Parties sur la valorisation applicable ou sur le nombre d'Actions à émettre à la Date d'Échéance, la difficulté est tranchée par un tiers estimateur, mandataire commun des Parties au sens de l'article 1592 du Code civil, désigné d'un commun accord ou, à défaut d'accord dans un délai de [quinze (15)] jours, par ordonnance du président du tribunal de commerce compétent statuant selon la procédure accélérée au fond (art. 481-1 du Code de procédure civile) à la requête de la Partie la plus diligente. Son évaluation lie les Parties, sauf erreur grossière.</w:t>
      </w:r>
    </w:p>
    <w:p>
      <w:pPr>
        <w:spacing w:after="120" w:line="276"/>
        <w:jc w:val="both"/>
      </w:pPr>
      <w:r>
        <w:t xml:space="preserve">Le Président de la Société, ou l'organe compétent selon les statuts, constate l'augmentation de capital résultant de l'exercice des Bons à la Date d'Échéance, conformément à l'article L. 225-149 du Code de commerce, la décision collective initiale d'émission valant autorisation de cette augmentation.</w:t>
      </w:r>
    </w:p>
    <w:p>
      <w:pPr>
        <w:pStyle w:val="Heading1"/>
        <w:spacing w:after="120" w:before="280"/>
      </w:pPr>
      <w:r>
        <w:rPr>
          <w:b/>
          <w:bCs/>
          <w:color w:val="0D1B2E"/>
          <w:sz w:val="24"/>
          <w:szCs w:val="24"/>
        </w:rPr>
        <w:t xml:space="preserve">Article 7. Déclarations et garanties de la société</w:t>
      </w:r>
    </w:p>
    <w:p>
      <w:pPr>
        <w:spacing w:after="120" w:line="276"/>
        <w:jc w:val="both"/>
      </w:pPr>
      <w:r>
        <w:t xml:space="preserve">La Société déclare et garantit à l'Investisseur, à la date de signature des présentes, que :</w:t>
      </w:r>
    </w:p>
    <w:p>
      <w:pPr>
        <w:spacing w:after="120" w:line="276"/>
        <w:jc w:val="both"/>
      </w:pPr>
      <w:r>
        <w:t xml:space="preserve">(a) elle est régulièrement constituée et immatriculée, et jouit de la capacité et des pouvoirs nécessaires à la conclusion et à l'exécution du présent contrat ;</w:t>
      </w:r>
    </w:p>
    <w:p>
      <w:pPr>
        <w:spacing w:after="120" w:line="276"/>
        <w:jc w:val="both"/>
      </w:pPr>
      <w:r>
        <w:t xml:space="preserve">(b) son capital social est régulièrement constitué, intégralement libéré, et n'est grevé d'aucun nantissement ni sûreté non révélés à l'Investisseur ;</w:t>
      </w:r>
    </w:p>
    <w:p>
      <w:pPr>
        <w:spacing w:after="120" w:line="276"/>
        <w:jc w:val="both"/>
      </w:pPr>
      <w:r>
        <w:t xml:space="preserve">(c) la conclusion du présent contrat et l'émission des Bons ont été dûment autorisées par les organes compétents et ne contreviennent ni à ses statuts, ni à aucun engagement souscrit par elle ;</w:t>
      </w:r>
    </w:p>
    <w:p>
      <w:pPr>
        <w:spacing w:after="120" w:line="276"/>
        <w:jc w:val="both"/>
      </w:pPr>
      <w:r>
        <w:t xml:space="preserve">(d) il n'existe, à sa connaissance, aucun litige, procédure ou réclamation en cours ou imminent de nature à affecter significativement sa situation financière ou la validité des Bons ;</w:t>
      </w:r>
    </w:p>
    <w:p>
      <w:pPr>
        <w:spacing w:after="120" w:line="276"/>
        <w:jc w:val="both"/>
      </w:pPr>
      <w:r>
        <w:t xml:space="preserve">(e) les informations comptables et financières communiquées à l'Investisseur donnent une image sincère de sa situation à la date la plus récente disponible.</w:t>
      </w:r>
    </w:p>
    <w:p>
      <w:pPr>
        <w:spacing w:after="120" w:line="276"/>
        <w:jc w:val="both"/>
      </w:pPr>
      <w:r>
        <w:t xml:space="preserve">Ces déclarations sont déterminantes du consentement de l'Investisseur. Leur inexactitude engage la responsabilité de la Société dans les conditions du droit commun, sans préjudice de l'obligation précontractuelle d'information de l'article 1112-1 du Code civil.</w:t>
      </w:r>
    </w:p>
    <w:p>
      <w:pPr>
        <w:pStyle w:val="Heading1"/>
        <w:spacing w:after="120" w:before="280"/>
      </w:pPr>
      <w:r>
        <w:rPr>
          <w:b/>
          <w:bCs/>
          <w:color w:val="0D1B2E"/>
          <w:sz w:val="24"/>
          <w:szCs w:val="24"/>
        </w:rPr>
        <w:t xml:space="preserve">Article 8. Exclusivité et confidentialité</w:t>
      </w:r>
    </w:p>
    <w:p>
      <w:pPr>
        <w:spacing w:after="120" w:line="276"/>
        <w:jc w:val="both"/>
      </w:pPr>
      <w:r>
        <w:t xml:space="preserve">Jusqu'à la Date de Réalisation, la Société s'engage à ne pas émettre au profit de tiers d'autres bons de souscription d'actions selon le mécanisme d'accord d'investissement rapide à des conditions plus favorables que celles consenties à l'Investisseur, sans en informer préalablement ce dernier et lui offrir un alignement de ses propres conditions.</w:t>
      </w:r>
    </w:p>
    <w:p>
      <w:pPr>
        <w:spacing w:after="120" w:line="276"/>
        <w:jc w:val="both"/>
      </w:pPr>
      <w:r>
        <w:t xml:space="preserve">Chaque Partie s'engage à conserver strictement confidentielles les informations de toute nature échangées à l'occasion de la négociation et de l'exécution du présent contrat, à ne les utiliser qu'aux fins des présentes, et à ne les divulguer à aucun tiers sans l'accord écrit de l'autre Partie, sous réserve des obligations légales ou réglementaires de communication.</w:t>
      </w:r>
    </w:p>
    <w:p>
      <w:pPr>
        <w:spacing w:after="120" w:line="276"/>
        <w:jc w:val="both"/>
      </w:pPr>
      <w:r>
        <w:t xml:space="preserve">Cette obligation de confidentialité perdure pendant une durée de [trois (3)] ans à compter de la cessation des relations entre les Parties, quelle qu'en soit la cause.</w:t>
      </w:r>
    </w:p>
    <w:p>
      <w:pPr>
        <w:spacing w:after="120" w:line="276"/>
        <w:jc w:val="both"/>
      </w:pPr>
      <w:r>
        <w:t xml:space="preserve">Les engagements d'exclusivité et de confidentialité survivent à l'éventuelle caducité des Bons et à la fin du présent contrat.</w:t>
      </w:r>
    </w:p>
    <w:p>
      <w:pPr>
        <w:pStyle w:val="Heading1"/>
        <w:spacing w:after="120" w:before="280"/>
      </w:pPr>
      <w:r>
        <w:rPr>
          <w:b/>
          <w:bCs/>
          <w:color w:val="0D1B2E"/>
          <w:sz w:val="24"/>
          <w:szCs w:val="24"/>
        </w:rPr>
        <w:t xml:space="preserve">Article 9. Engagements de la société jusqu'à réalisation</w:t>
      </w:r>
    </w:p>
    <w:p>
      <w:pPr>
        <w:spacing w:after="120" w:line="276"/>
        <w:jc w:val="both"/>
      </w:pPr>
      <w:r>
        <w:t xml:space="preserve">Jusqu'à la Date de Réalisation, la Société s'engage, dans le respect de l'obligation de bonne foi posée par les articles 1103 et 1104 du Code civil, à :</w:t>
      </w:r>
    </w:p>
    <w:p>
      <w:pPr>
        <w:spacing w:after="120" w:line="276"/>
        <w:jc w:val="both"/>
      </w:pPr>
      <w:r>
        <w:t xml:space="preserve">(a) informer régulièrement l'Investisseur de l'évolution significative de son activité et de sa situation financière, et l'aviser sans délai de tout projet de Tour Qualifié ou d'Événement de Liquidité ;</w:t>
      </w:r>
    </w:p>
    <w:p>
      <w:pPr>
        <w:spacing w:after="120" w:line="276"/>
        <w:jc w:val="both"/>
      </w:pPr>
      <w:r>
        <w:t xml:space="preserve">(b) s'abstenir de procéder à toute opération sur son capital ayant pour objet ou pour effet de priver les Bons de leur valeur ou de contourner les droits de l'Investisseur ;</w:t>
      </w:r>
    </w:p>
    <w:p>
      <w:pPr>
        <w:spacing w:after="120" w:line="276"/>
        <w:jc w:val="both"/>
      </w:pPr>
      <w:r>
        <w:t xml:space="preserve">(c) ne pas modifier ses statuts d'une manière qui porterait atteinte aux droits attachés aux Bons sans l'accord préalable et écrit de l'Investisseur ;</w:t>
      </w:r>
    </w:p>
    <w:p>
      <w:pPr>
        <w:spacing w:after="120" w:line="276"/>
        <w:jc w:val="both"/>
      </w:pPr>
      <w:r>
        <w:t xml:space="preserve">(d) accomplir en temps utile l'ensemble des formalités sociétaires nécessaires à l'émission des Actions issues de l'exercice des Bons.</w:t>
      </w:r>
    </w:p>
    <w:p>
      <w:pPr>
        <w:spacing w:after="120" w:line="276"/>
        <w:jc w:val="both"/>
      </w:pPr>
      <w:r>
        <w:t xml:space="preserve">Le manquement à l'un de ces engagements engage la responsabilité de la Société et peut donner lieu à réparation dans les conditions du droit commun.</w:t>
      </w:r>
    </w:p>
    <w:p>
      <w:pPr>
        <w:pStyle w:val="Heading1"/>
        <w:spacing w:after="120" w:before="280"/>
      </w:pPr>
      <w:r>
        <w:rPr>
          <w:b/>
          <w:bCs/>
          <w:color w:val="0D1B2E"/>
          <w:sz w:val="24"/>
          <w:szCs w:val="24"/>
        </w:rPr>
        <w:t xml:space="preserve">Article 10. Stipulations générales</w:t>
      </w:r>
    </w:p>
    <w:p>
      <w:pPr>
        <w:spacing w:after="120" w:line="276"/>
        <w:jc w:val="both"/>
      </w:pPr>
      <w:r>
        <w:t xml:space="preserve">Intégralité de l'accord. Le présent contrat et ses annexes expriment l'intégralité de l'accord des Parties sur son objet. Il annule et remplace tout accord, engagement ou correspondance antérieurs portant sur le même objet.</w:t>
      </w:r>
    </w:p>
    <w:p>
      <w:pPr>
        <w:spacing w:after="120" w:line="276"/>
        <w:jc w:val="both"/>
      </w:pPr>
      <w:r>
        <w:t xml:space="preserve">Divisibilité. Si l'une des stipulations du présent contrat était déclarée nulle ou inapplicable, les autres stipulations conserveraient leur plein effet, les Parties s'engageant à négocier de bonne foi une clause de substitution reflétant leur intention commune initiale.</w:t>
      </w:r>
    </w:p>
    <w:p>
      <w:pPr>
        <w:spacing w:after="120" w:line="276"/>
        <w:jc w:val="both"/>
      </w:pPr>
      <w:r>
        <w:t xml:space="preserve">Notifications. Toute notification au titre des présentes est valablement faite par lettre recommandée avec accusé de réception ou par courrier électronique avec accusé de réception, adressée aux coordonnées figurant en tête des présentes, ou à toute autre adresse notifiée ultérieurement par une Partie à l'autre.</w:t>
      </w:r>
    </w:p>
    <w:p>
      <w:pPr>
        <w:spacing w:after="120" w:line="276"/>
        <w:jc w:val="both"/>
      </w:pPr>
      <w:r>
        <w:t xml:space="preserve">Survie des obligations. Les stipulations qui, par leur nature, ont vocation à produire effet au-delà du terme ou de la caducité du présent contrat, notamment celles relatives à la confidentialité et au règlement des litiges, demeurent en vigueur après cette date.</w:t>
      </w:r>
    </w:p>
    <w:p>
      <w:pPr>
        <w:spacing w:after="120" w:line="276"/>
        <w:jc w:val="both"/>
      </w:pPr>
      <w:r>
        <w:t xml:space="preserve">Tolérance. Le fait pour une Partie de ne pas se prévaloir d'un manquement de l'autre à l'une quelconque de ses obligations ne saurait être interprété comme une renonciation à s'en prévaloir ultérieurement.</w:t>
      </w:r>
    </w:p>
    <w:p>
      <w:pPr>
        <w:spacing w:after="120" w:line="276"/>
        <w:jc w:val="both"/>
      </w:pPr>
      <w:r>
        <w:t xml:space="preserve">Langue. Le présent contrat est rédigé en langue française. En cas de traduction, seule la version française fait foi entre les Parties.</w:t>
      </w:r>
    </w:p>
    <w:p>
      <w:pPr>
        <w:pStyle w:val="Heading1"/>
        <w:spacing w:after="120" w:before="280"/>
      </w:pPr>
      <w:r>
        <w:rPr>
          <w:b/>
          <w:bCs/>
          <w:color w:val="0D1B2E"/>
          <w:sz w:val="24"/>
          <w:szCs w:val="24"/>
        </w:rPr>
        <w:t xml:space="preserve">Article 11.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validité, son interprétation ou son exécution, les Parties s'efforceront de parvenir à une solution amiable dans un délai de [trente (30)] jours à compter de la notification du différend par la Partie la plus diligente.</w:t>
      </w:r>
    </w:p>
    <w:p>
      <w:pPr>
        <w:spacing w:after="120" w:line="276"/>
        <w:jc w:val="both"/>
      </w:pPr>
      <w:r>
        <w:t xml:space="preserve">À défaut d'accord amiable dans ce délai, lorsque l'Investisseur a contracté en qualité de commerçant, le différend sera soumis aux tribunaux compétents dans le ressort de la Cour d'appel de [ville], nonobstant pluralité de défendeurs ou appel en garantie, cette attribution de compétence étant stipulée en application de l'article 48 du Code de procédure civile. À défaut, lorsque l'Investisseur n'a pas la qualité de commerçant, la compétence est déterminée par les règles de droit commun, notamment celles du tribunal du lieu où demeure le défendeur en application de l'article 42 du Code de procédure civile.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Annexes : Annexe 1, références bancaires de la Société ; Annexe 2, exemple chiffré du calcul du Prix de Conversion ; Annexe 3, copie du procès-verbal de la décision collective d'émission des Bons.</w:t>
      </w:r>
    </w:p>
    <w:p>
      <w:pPr>
        <w:spacing w:after="120" w:line="276"/>
        <w:jc w:val="both"/>
      </w:pPr>
      <w:r>
        <w:t xml:space="preserve">Pour la Société : [Nom et Prénom], [qualité], [signature]</w:t>
      </w:r>
    </w:p>
    <w:p>
      <w:pPr>
        <w:spacing w:after="120" w:line="276"/>
        <w:jc w:val="both"/>
      </w:pPr>
      <w:r>
        <w:t xml:space="preserve">L'Investisseur : [Nom et Prénom / Dénomination sociale],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D'ÉMISSION ET DE SOUSCRIPTION DE BONS DE SOUSCRIPTION D'ACTIONS ACCORD D'INVESTISSEMENT RAPIDE (BSA-AIR)</dc:title>
  <dc:creator>Pactolane</dc:creator>
  <dc:description>Modele de contrat Pactolane, a adapter.</dc:description>
  <cp:lastModifiedBy>Un-named</cp:lastModifiedBy>
  <cp:revision>1</cp:revision>
  <dcterms:created xsi:type="dcterms:W3CDTF">2026-07-18T17:33:48.343Z</dcterms:created>
  <dcterms:modified xsi:type="dcterms:W3CDTF">2026-07-18T17:33:48.343Z</dcterms:modified>
</cp:coreProperties>
</file>

<file path=docProps/custom.xml><?xml version="1.0" encoding="utf-8"?>
<Properties xmlns="http://schemas.openxmlformats.org/officeDocument/2006/custom-properties" xmlns:vt="http://schemas.openxmlformats.org/officeDocument/2006/docPropsVTypes"/>
</file>