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VENTE DU SERVICE LOGICIEL EN LIGNE (SAAS)</w:t>
      </w:r>
    </w:p>
    <w:p>
      <w:pPr>
        <w:pBdr>
          <w:bottom w:val="single" w:color="0D1B2E" w:sz="8" w:space="1"/>
        </w:pBdr>
        <w:spacing w:after="280"/>
      </w:pPr>
    </w:p>
    <w:p>
      <w:pPr>
        <w:spacing w:after="120" w:line="276"/>
        <w:jc w:val="both"/>
      </w:pPr>
      <w:r>
        <w:t xml:space="preserve">Les présentes conditions générales de vente (ci-après les « CGV ») sont éditées par la société [Dénomination sociale], [forme sociale] au capital de [montant] euros, dont le siège social est situé [adresse complète], immatriculée au Registre du commerce et des sociétés de [ville] sous le numéro [numéro SIREN], représentée par [nom et qualité du représentant légal], ci-après désignée « l'Éditeur ».</w:t>
      </w:r>
    </w:p>
    <w:p>
      <w:pPr>
        <w:spacing w:after="120" w:line="276"/>
        <w:jc w:val="both"/>
      </w:pPr>
      <w:r>
        <w:t xml:space="preserve">L'Éditeur exploite et met à disposition, en mode logiciel en tant que service (Software as a Service), une solution logicielle accessible en ligne dénommée [nom de la solution] (ci-après le « Service »), permettant [description synthétique des fonctionnalités du Service].</w:t>
      </w:r>
    </w:p>
    <w:p>
      <w:pPr>
        <w:spacing w:after="120" w:line="276"/>
        <w:jc w:val="both"/>
      </w:pPr>
      <w:r>
        <w:t xml:space="preserve">Les présentes CGV s'appliquent à toute souscription au Service par un client professionnel, personne physique ou morale agissant pour les besoins de son activité professionnelle (ci-après le « Client »). Elles constituent, conformément à l'article L. 441-1 du Code de commerce, le socle unique de la négociation commerciale entre les parties.</w:t>
      </w:r>
    </w:p>
    <w:p>
      <w:pPr>
        <w:spacing w:after="120" w:line="276"/>
        <w:jc w:val="both"/>
      </w:pPr>
      <w:r>
        <w:t xml:space="preserve">Toute souscription au Service emporte acceptation pleine et entière et sans réserve des présentes CGV par le Client. Le Client reconnaît en avoir pris connaissance préalablement à sa souscription et déclarer disposer de la capacité requise pour contracter. Le fait de cocher la case d'acceptation prévue lors de la souscription, ou à défaut le premier accès au Service, vaut acceptation des présentes CGV.</w:t>
      </w:r>
    </w:p>
    <w:p>
      <w:pPr>
        <w:spacing w:after="120" w:line="276"/>
        <w:jc w:val="both"/>
      </w:pPr>
      <w:r>
        <w:t xml:space="preserve">Les présentes CGV sont réputées acceptées à la date figurant sur le bon de commande, le devis ou le formulaire de souscription (ci-après la « Commande »).</w:t>
      </w:r>
    </w:p>
    <w:p>
      <w:pPr>
        <w:pStyle w:val="Heading1"/>
        <w:spacing w:after="120" w:before="280"/>
      </w:pPr>
      <w:r>
        <w:rPr>
          <w:b/>
          <w:bCs/>
          <w:color w:val="0D1B2E"/>
          <w:sz w:val="24"/>
          <w:szCs w:val="24"/>
        </w:rPr>
        <w:t xml:space="preserve">Article 1. Objet et champ d'application</w:t>
      </w:r>
    </w:p>
    <w:p>
      <w:pPr>
        <w:spacing w:after="120" w:line="276"/>
        <w:jc w:val="both"/>
      </w:pPr>
      <w:r>
        <w:t xml:space="preserve">Les présentes CGV ont pour objet de définir les conditions dans lesquelles l'Éditeur met le Service à la disposition du Client, ainsi que les droits et obligations respectifs des parties.</w:t>
      </w:r>
    </w:p>
    <w:p>
      <w:pPr>
        <w:spacing w:after="120" w:line="276"/>
        <w:jc w:val="both"/>
      </w:pPr>
      <w:r>
        <w:t xml:space="preserve">Elles régissent toute souscription au Service, à défaut de convention particulière signée entre les parties. La Commande précise le périmètre souscrit, notamment les modules, le nombre d'utilisateurs ou de licences, les options et le prix applicable.</w:t>
      </w:r>
    </w:p>
    <w:p>
      <w:pPr>
        <w:spacing w:after="120" w:line="276"/>
        <w:jc w:val="both"/>
      </w:pPr>
      <w:r>
        <w:t xml:space="preserve">En cas de contradiction entre les documents contractuels, l'ordre de priorité suivant prévaut : (a) la convention particulière éventuellement signée entre les parties ; (b) la Commande acceptée ; (c) les présentes CGV et leurs annexes ; (d) tout autre document de l'Éditeur.</w:t>
      </w:r>
    </w:p>
    <w:p>
      <w:pPr>
        <w:spacing w:after="120" w:line="276"/>
        <w:jc w:val="both"/>
      </w:pPr>
      <w:r>
        <w:t xml:space="preserve">Les annexes suivantes font partie intégrante des présentes CGV : l'annexe 1 relative aux niveaux de service, et l'annexe 2 constituée de l'accord de traitement des données à caractère personnel (DPA).</w:t>
      </w:r>
    </w:p>
    <w:p>
      <w:pPr>
        <w:spacing w:after="120" w:line="276"/>
        <w:jc w:val="both"/>
      </w:pPr>
      <w:r>
        <w:t xml:space="preserve">L'Éditeur se réserve la faculté de modifier les présentes CGV. Les CGV applicables sont celles en vigueur à la date de la Commande. Toute modification substantielle est notifiée au Client avec un préavis de [X] jours ; à défaut de refus notifié avant l'expiration de ce préavis, les CGV modifiées sont réputées acceptées pour la période de renouvellement suivante.</w:t>
      </w:r>
    </w:p>
    <w:p>
      <w:pPr>
        <w:pStyle w:val="Heading1"/>
        <w:spacing w:after="120" w:before="280"/>
      </w:pPr>
      <w:r>
        <w:rPr>
          <w:b/>
          <w:bCs/>
          <w:color w:val="0D1B2E"/>
          <w:sz w:val="24"/>
          <w:szCs w:val="24"/>
        </w:rPr>
        <w:t xml:space="preserve">Article 2. Définitions</w:t>
      </w:r>
    </w:p>
    <w:p>
      <w:pPr>
        <w:spacing w:after="120" w:line="276"/>
        <w:jc w:val="both"/>
      </w:pPr>
      <w:r>
        <w:t xml:space="preserve">Les termes ci-après, employés avec une majuscule, ont la signification suivante :</w:t>
      </w:r>
    </w:p>
    <w:p>
      <w:pPr>
        <w:spacing w:after="120" w:line="276"/>
        <w:jc w:val="both"/>
      </w:pPr>
      <w:r>
        <w:t xml:space="preserve">(a) « Service » : la solution logicielle en ligne exploitée par l'Éditeur et mise à la disposition du Client à distance, telle que décrite dans la Commande.</w:t>
      </w:r>
    </w:p>
    <w:p>
      <w:pPr>
        <w:spacing w:after="120" w:line="276"/>
        <w:jc w:val="both"/>
      </w:pPr>
      <w:r>
        <w:t xml:space="preserve">(b) « Utilisateur » : toute personne physique autorisée par le Client à accéder au Service au moyen d'identifiants nominatifs.</w:t>
      </w:r>
    </w:p>
    <w:p>
      <w:pPr>
        <w:spacing w:after="120" w:line="276"/>
        <w:jc w:val="both"/>
      </w:pPr>
      <w:r>
        <w:t xml:space="preserve">(c) « Données Client » : l'ensemble des données, contenus et informations, en ce compris les données à caractère personnel, saisis, importés ou générés par le Client ou ses Utilisateurs dans le cadre de l'utilisation du Service.</w:t>
      </w:r>
    </w:p>
    <w:p>
      <w:pPr>
        <w:spacing w:after="120" w:line="276"/>
        <w:jc w:val="both"/>
      </w:pPr>
      <w:r>
        <w:t xml:space="preserve">(d) « Identifiants » : les éléments d'authentification, notamment l'identifiant de connexion et le mot de passe, permettant à un Utilisateur d'accéder au Service.</w:t>
      </w:r>
    </w:p>
    <w:p>
      <w:pPr>
        <w:spacing w:after="120" w:line="276"/>
        <w:jc w:val="both"/>
      </w:pPr>
      <w:r>
        <w:t xml:space="preserve">(e) « API » : l'interface de programmation applicative éventuellement mise à disposition permettant l'interconnexion du Service avec le système d'information du Client.</w:t>
      </w:r>
    </w:p>
    <w:p>
      <w:pPr>
        <w:spacing w:after="120" w:line="276"/>
        <w:jc w:val="both"/>
      </w:pPr>
      <w:r>
        <w:t xml:space="preserve">(f) « Documentation » : l'ensemble des supports décrivant les caractéristiques et modalités d'utilisation du Service, mis à disposition par l'Éditeur.</w:t>
      </w:r>
    </w:p>
    <w:p>
      <w:pPr>
        <w:pStyle w:val="Heading1"/>
        <w:spacing w:after="120" w:before="280"/>
      </w:pPr>
      <w:r>
        <w:rPr>
          <w:b/>
          <w:bCs/>
          <w:color w:val="0D1B2E"/>
          <w:sz w:val="24"/>
          <w:szCs w:val="24"/>
        </w:rPr>
        <w:t xml:space="preserve">Article 3. Droit d'accès et d'usage</w:t>
      </w:r>
    </w:p>
    <w:p>
      <w:pPr>
        <w:spacing w:after="120" w:line="276"/>
        <w:jc w:val="both"/>
      </w:pPr>
      <w:r>
        <w:t xml:space="preserve">Sous réserve du paiement du prix et du respect des présentes CGV, l'Éditeur concède au Client un droit d'accès et d'usage du Service, personnel, non exclusif, non cessible et non transférable, pour les besoins propres de son activité professionnelle et pour la durée de l'abonnement.</w:t>
      </w:r>
    </w:p>
    <w:p>
      <w:pPr>
        <w:spacing w:after="120" w:line="276"/>
        <w:jc w:val="both"/>
      </w:pPr>
      <w:r>
        <w:t xml:space="preserve">Le Service étant exploité en mode hébergé, le Client n'acquiert aucun droit de propriété sur le Service, le logiciel qui le sous-tend ou ses composants. Aucun droit de reproduction, de représentation, d'adaptation, de traduction, de décompilation ou de modification n'est concédé au titre des présentes, au-delà de ce qu'autorisent les dispositions impératives de l'article L. 122-6-1 du Code de la propriété intellectuelle.</w:t>
      </w:r>
    </w:p>
    <w:p>
      <w:pPr>
        <w:spacing w:after="120" w:line="276"/>
        <w:jc w:val="both"/>
      </w:pPr>
      <w:r>
        <w:t xml:space="preserve">Le droit d'usage est limité au périmètre défini dans la Commande, notamment quant au nombre d'Utilisateurs ou de licences. Tout dépassement fait l'objet d'une facturation complémentaire selon le barème en vigueur.</w:t>
      </w:r>
    </w:p>
    <w:p>
      <w:pPr>
        <w:spacing w:after="120" w:line="276"/>
        <w:jc w:val="both"/>
      </w:pPr>
      <w:r>
        <w:t xml:space="preserve">Le Client s'interdit notamment : (a) de mettre le Service à disposition de tiers, à titre gratuit ou onéreux ; (b) de tenter d'accéder au code source ou à la structure du Service ; (c) d'utiliser le Service à des fins de développement d'une solution concurrente ; (d) de contourner ou de neutraliser les mesures de sécurité du Service.</w:t>
      </w:r>
    </w:p>
    <w:p>
      <w:pPr>
        <w:spacing w:after="120" w:line="276"/>
        <w:jc w:val="both"/>
      </w:pPr>
      <w:r>
        <w:t xml:space="preserve">Le Client est responsable de la préservation de la confidentialité des Identifiants de ses Utilisateurs et de tout usage du Service effectué au moyen de ceux-ci. Il informe sans délai l'Éditeur de toute perte, vol ou usage non autorisé d'Identifiants.</w:t>
      </w:r>
    </w:p>
    <w:p>
      <w:pPr>
        <w:pStyle w:val="Heading1"/>
        <w:spacing w:after="120" w:before="280"/>
      </w:pPr>
      <w:r>
        <w:rPr>
          <w:b/>
          <w:bCs/>
          <w:color w:val="0D1B2E"/>
          <w:sz w:val="24"/>
          <w:szCs w:val="24"/>
        </w:rPr>
        <w:t xml:space="preserve">Article 4. Niveaux de service et disponibilité</w:t>
      </w:r>
    </w:p>
    <w:p>
      <w:pPr>
        <w:spacing w:after="120" w:line="276"/>
        <w:jc w:val="both"/>
      </w:pPr>
      <w:r>
        <w:t xml:space="preserve">L'Éditeur s'engage à mettre en œuvre les moyens nécessaires pour assurer la disponibilité et la continuité du Service, dans les conditions définies à l'annexe 1.</w:t>
      </w:r>
    </w:p>
    <w:p>
      <w:pPr>
        <w:spacing w:after="120" w:line="276"/>
        <w:jc w:val="both"/>
      </w:pPr>
      <w:r>
        <w:t xml:space="preserve">Le taux de disponibilité mensuel du Service est fixé à [X] pour cent, mesuré sur une base mensuelle, hors périodes de maintenance planifiée et cas exclus.</w:t>
      </w:r>
    </w:p>
    <w:p>
      <w:pPr>
        <w:spacing w:after="120" w:line="276"/>
        <w:jc w:val="both"/>
      </w:pPr>
      <w:r>
        <w:t xml:space="preserve">Les opérations de maintenance planifiée sont réalisées, dans la mesure du possible, en dehors des heures ouvrées et font l'objet d'une information préalable du Client dans un délai de [X] heures. Les opérations de maintenance corrective urgente peuvent être réalisées à tout moment, l'Éditeur s'efforçant d'en limiter l'impact.</w:t>
      </w:r>
    </w:p>
    <w:p>
      <w:pPr>
        <w:spacing w:after="120" w:line="276"/>
        <w:jc w:val="both"/>
      </w:pPr>
      <w:r>
        <w:t xml:space="preserve">En cas d'incident, l'Éditeur s'engage à un délai de prise en charge de [X] heures et à un délai de rétablissement du Service de [X] heures, selon le niveau de criticité défini à l'annexe 1.</w:t>
      </w:r>
    </w:p>
    <w:p>
      <w:pPr>
        <w:spacing w:after="120" w:line="276"/>
        <w:jc w:val="both"/>
      </w:pPr>
      <w:r>
        <w:t xml:space="preserve">En cas de manquement au taux de disponibilité garanti, le Client peut prétendre à des pénalités calculées selon le barème figurant à l'annexe 1, dans la limite de [X] pour cent du montant de l'abonnement mensuel concerné. Ces pénalités constituent la réparation forfaitaire et exclusive du préjudice résultant de l'indisponibilité.</w:t>
      </w:r>
    </w:p>
    <w:p>
      <w:pPr>
        <w:spacing w:after="120" w:line="276"/>
        <w:jc w:val="both"/>
      </w:pPr>
      <w:r>
        <w:t xml:space="preserve">Sont exclus du calcul de la disponibilité : (a) les cas de force majeure ; (b) les défaillances imputables au Client, à ses Utilisateurs ou à leurs équipements ; (c) les défaillances des réseaux de télécommunications et de la connexion Internet du Client ; (d) les suspensions prévues aux présentes CGV.</w:t>
      </w:r>
    </w:p>
    <w:p>
      <w:pPr>
        <w:pStyle w:val="Heading1"/>
        <w:spacing w:after="120" w:before="280"/>
      </w:pPr>
      <w:r>
        <w:rPr>
          <w:b/>
          <w:bCs/>
          <w:color w:val="0D1B2E"/>
          <w:sz w:val="24"/>
          <w:szCs w:val="24"/>
        </w:rPr>
        <w:t xml:space="preserve">Article 5. Accès, API et support</w:t>
      </w:r>
    </w:p>
    <w:p>
      <w:pPr>
        <w:spacing w:after="120" w:line="276"/>
        <w:jc w:val="both"/>
      </w:pPr>
      <w:r>
        <w:t xml:space="preserve">Le Service est accessible à distance, en ligne, au moyen d'une connexion Internet dont le Client fait son affaire. Le Client fait son affaire de la compatibilité de ses équipements et navigateurs avec les prérequis techniques décrits dans la Documentation.</w:t>
      </w:r>
    </w:p>
    <w:p>
      <w:pPr>
        <w:spacing w:after="120" w:line="276"/>
        <w:jc w:val="both"/>
      </w:pPr>
      <w:r>
        <w:t xml:space="preserve">Lorsque la Commande le prévoit, l'Éditeur met à disposition une API permettant l'interconnexion du Service. L'usage de l'API s'effectue dans le respect de la Documentation, des quotas d'appels et des règles d'authentification communiquées. Tout usage anormal, abusif ou de nature à compromettre la sécurité ou la stabilité du Service autorise l'Éditeur à en restreindre ou suspendre l'accès.</w:t>
      </w:r>
    </w:p>
    <w:p>
      <w:pPr>
        <w:spacing w:after="120" w:line="276"/>
        <w:jc w:val="both"/>
      </w:pPr>
      <w:r>
        <w:t xml:space="preserve">L'Éditeur fournit un support technique accessible par [canaux : courrier électronique, portail, téléphone], aux jours et heures suivants : [plages horaires]. Le support a pour objet de répondre aux demandes d'assistance et de traiter les anomalies signalées.</w:t>
      </w:r>
    </w:p>
    <w:p>
      <w:pPr>
        <w:spacing w:after="120" w:line="276"/>
        <w:jc w:val="both"/>
      </w:pPr>
      <w:r>
        <w:t xml:space="preserve">Les anomalies sont qualifiées selon leur niveau de criticité. L'Éditeur s'engage à un délai de prise en charge conforme à l'annexe 1. Le support courant se distingue de la maintenance corrective, laquelle porte sur la correction des anomalies affectant le fonctionnement du Service.</w:t>
      </w:r>
    </w:p>
    <w:p>
      <w:pPr>
        <w:spacing w:after="120" w:line="276"/>
        <w:jc w:val="both"/>
      </w:pPr>
      <w:r>
        <w:t xml:space="preserve">Sont exclus du support : les demandes résultant d'un usage non conforme à la Documentation, d'une modification non autorisée, d'un défaut d'équipement du Client ou de l'intervention d'un tiers non habilité. Ces prestations peuvent, le cas échéant, faire l'objet d'une facturation complémentaire.</w:t>
      </w:r>
    </w:p>
    <w:p>
      <w:pPr>
        <w:pStyle w:val="Heading1"/>
        <w:spacing w:after="120" w:before="280"/>
      </w:pPr>
      <w:r>
        <w:rPr>
          <w:b/>
          <w:bCs/>
          <w:color w:val="0D1B2E"/>
          <w:sz w:val="24"/>
          <w:szCs w:val="24"/>
        </w:rPr>
        <w:t xml:space="preserve">Article 6. Prix, abonnement et facturation</w:t>
      </w:r>
    </w:p>
    <w:p>
      <w:pPr>
        <w:spacing w:after="120" w:line="276"/>
        <w:jc w:val="both"/>
      </w:pPr>
      <w:r>
        <w:t xml:space="preserve">Le prix du Service est celui figurant dans la Commande. Il est exprimé en euros et s'entend hors taxes, la taxe sur la valeur ajoutée et toute autre taxe applicable étant en sus à la charge du Client.</w:t>
      </w:r>
    </w:p>
    <w:p>
      <w:pPr>
        <w:spacing w:after="120" w:line="276"/>
        <w:jc w:val="both"/>
      </w:pPr>
      <w:r>
        <w:t xml:space="preserve">L'abonnement est facturé selon la périodicité indiquée dans la Commande : [mensuelle / annuelle / autre]. Le cas échéant, la part variable du prix, calculée à l'usage, est facturée à terme échu sur la base des relevés de consommation établis par l'Éditeur.</w:t>
      </w:r>
    </w:p>
    <w:p>
      <w:pPr>
        <w:spacing w:after="120" w:line="276"/>
        <w:jc w:val="both"/>
      </w:pPr>
      <w:r>
        <w:t xml:space="preserve">Les factures sont payables à [X] jours à compter de leur date d'émission, sans que ce délai puisse excéder les plafonds fixés par l'article L. 441-10 du Code de commerce. Le paiement s'effectue par [moyen de paiement].</w:t>
      </w:r>
    </w:p>
    <w:p>
      <w:pPr>
        <w:spacing w:after="120" w:line="276"/>
        <w:jc w:val="both"/>
      </w:pPr>
      <w:r>
        <w:t xml:space="preserve">Conformément à l'article L. 441-10 du Code de commerce, tout retard de paiement donne lieu, de plein droit et sans mise en demeure préalable, à l'application de pénalités de retard calculées sur la base d'un taux égal à trois fois le taux d'intérêt légal en vigueur, ainsi qu'au versement de l'indemnité forfaitaire pour frais de recouvrement d'un montant de quarante (40) euros prévue par l'article D. 441-5 du Code de commerce. Lorsque les frais de recouvrement exposés sont supérieurs à ce montant, l'Éditeur peut demander une indemnisation complémentaire sur justification.</w:t>
      </w:r>
    </w:p>
    <w:p>
      <w:pPr>
        <w:spacing w:after="120" w:line="276"/>
        <w:jc w:val="both"/>
      </w:pPr>
      <w:r>
        <w:t xml:space="preserve">En cas de défaut de paiement persistant [X] jours après une mise en demeure restée infructueuse, l'Éditeur peut suspendre l'accès au Service de plein droit, sans que cette suspension ne dispense le Client de son obligation de paiement ni n'ouvre droit à indemnité à son profit.</w:t>
      </w:r>
    </w:p>
    <w:p>
      <w:pPr>
        <w:spacing w:after="120" w:line="276"/>
        <w:jc w:val="both"/>
      </w:pPr>
      <w:r>
        <w:t xml:space="preserve">Le prix de l'abonnement peut être révisé à chaque échéance de renouvellement. Toute révision est notifiée au Client avec un préavis de [X] jours avant la date d'effet. Le Client qui n'accepte pas la nouvelle tarification peut résilier l'abonnement à la date d'effet de la révision, par notification adressée avant l'expiration du préavis ; à défaut, la nouvelle tarification s'applique.</w:t>
      </w:r>
    </w:p>
    <w:p>
      <w:pPr>
        <w:pStyle w:val="Heading1"/>
        <w:spacing w:after="120" w:before="280"/>
      </w:pPr>
      <w:r>
        <w:rPr>
          <w:b/>
          <w:bCs/>
          <w:color w:val="0D1B2E"/>
          <w:sz w:val="24"/>
          <w:szCs w:val="24"/>
        </w:rPr>
        <w:t xml:space="preserve">Article 7. Sécurité et protection des données à caractère personnel</w:t>
      </w:r>
    </w:p>
    <w:p>
      <w:pPr>
        <w:spacing w:after="120" w:line="276"/>
        <w:jc w:val="both"/>
      </w:pPr>
      <w:r>
        <w:t xml:space="preserve">Dans le cadre de l'exécution du Service, l'Éditeur est susceptible de traiter des données à caractère personnel pour le compte du Client. À ce titre, l'Éditeur agit en qualité de sous-traitant au sens de l'article 28 du Règlement (UE) 2016/679 (RGPD) et le Client en qualité de responsable de traitement.</w:t>
      </w:r>
    </w:p>
    <w:p>
      <w:pPr>
        <w:spacing w:after="120" w:line="276"/>
        <w:jc w:val="both"/>
      </w:pPr>
      <w:r>
        <w:t xml:space="preserve">Les conditions de ce traitement, notamment la nature et la finalité des opérations, les catégories de données et de personnes concernées, les instructions documentées, les mesures de sécurité et l'encadrement des sous-traitants ultérieurs, sont définies dans l'accord de traitement des données figurant en annexe 2.</w:t>
      </w:r>
    </w:p>
    <w:p>
      <w:pPr>
        <w:spacing w:after="120" w:line="276"/>
        <w:jc w:val="both"/>
      </w:pPr>
      <w:r>
        <w:t xml:space="preserve">L'Éditeur met en œuvre les mesures techniques et organisationnelles appropriées pour garantir un niveau de sécurité adapté au risque, conformément à l'article 32 du RGPD. Il notifie au Client toute violation de données à caractère personnel dans les meilleurs délais après en avoir pris connaissance.</w:t>
      </w:r>
    </w:p>
    <w:p>
      <w:pPr>
        <w:spacing w:after="120" w:line="276"/>
        <w:jc w:val="both"/>
      </w:pPr>
      <w:r>
        <w:t xml:space="preserve">Les Données Client sont hébergées sur des infrastructures situées à [localisation, par exemple : au sein de l'Union européenne]. Tout transfert de données à caractère personnel en dehors de l'Union européenne est encadré par les garanties appropriées prévues aux articles 44 et suivants du RGPD, notamment les clauses contractuelles types de la Commission européenne.</w:t>
      </w:r>
    </w:p>
    <w:p>
      <w:pPr>
        <w:spacing w:after="120" w:line="276"/>
        <w:jc w:val="both"/>
      </w:pPr>
      <w:r>
        <w:t xml:space="preserve">Le Client, en sa qualité de responsable de traitement, s'assure de disposer d'une base légale pour le traitement des Données Client et de respecter ses propres obligations, notamment en matière d'information des personnes concernées et de recueil des consentements requis.</w:t>
      </w:r>
    </w:p>
    <w:p>
      <w:pPr>
        <w:spacing w:after="120" w:line="276"/>
        <w:jc w:val="both"/>
      </w:pPr>
      <w:r>
        <w:t xml:space="preserve">Chaque partie s'engage à apporter à l'autre l'assistance raisonnable nécessaire au respect de leurs obligations respectives au titre du RGPD, notamment pour répondre aux demandes d'exercice de droits des personnes concernées et pour la réalisation d'analyses d'impact.</w:t>
      </w:r>
    </w:p>
    <w:p>
      <w:pPr>
        <w:pStyle w:val="Heading1"/>
        <w:spacing w:after="120" w:before="280"/>
      </w:pPr>
      <w:r>
        <w:rPr>
          <w:b/>
          <w:bCs/>
          <w:color w:val="0D1B2E"/>
          <w:sz w:val="24"/>
          <w:szCs w:val="24"/>
        </w:rPr>
        <w:t xml:space="preserve">Article 8. Propriété intellectuelle</w:t>
      </w:r>
    </w:p>
    <w:p>
      <w:pPr>
        <w:spacing w:after="120" w:line="276"/>
        <w:jc w:val="both"/>
      </w:pPr>
      <w:r>
        <w:t xml:space="preserve">Le Service, le logiciel qui le compose, ses interfaces, sa Documentation, ses bases de données, ses marques, logos et tout élément qui les constitue demeurent la propriété exclusive de l'Éditeur ou de ses concédants. Les présentes CGV n'emportent aucune cession de droit de propriété intellectuelle au profit du Client.</w:t>
      </w:r>
    </w:p>
    <w:p>
      <w:pPr>
        <w:spacing w:after="120" w:line="276"/>
        <w:jc w:val="both"/>
      </w:pPr>
      <w:r>
        <w:t xml:space="preserve">Les évolutions, améliorations, corrections et développements du Service, quelle qu'en soit l'origine, demeurent la propriété exclusive de l'Éditeur.</w:t>
      </w:r>
    </w:p>
    <w:p>
      <w:pPr>
        <w:spacing w:after="120" w:line="276"/>
        <w:jc w:val="both"/>
      </w:pPr>
      <w:r>
        <w:t xml:space="preserve">Le Client conserve l'entière propriété des Données Client. Il concède à l'Éditeur, pour la seule durée du contrat et aux seules fins de fourniture du Service, un droit d'héberger, reproduire et traiter les Données Client dans la mesure strictement nécessaire à l'exécution des présentes.</w:t>
      </w:r>
    </w:p>
    <w:p>
      <w:pPr>
        <w:spacing w:after="120" w:line="276"/>
        <w:jc w:val="both"/>
      </w:pPr>
      <w:r>
        <w:t xml:space="preserve">Le Client garantit qu'il dispose des droits nécessaires sur les Données Client et que celles-ci ne portent pas atteinte aux droits de tiers. Il garantit l'Éditeur contre toute réclamation d'un tiers à ce titre.</w:t>
      </w:r>
    </w:p>
    <w:p>
      <w:pPr>
        <w:spacing w:after="120" w:line="276"/>
        <w:jc w:val="both"/>
      </w:pPr>
      <w:r>
        <w:t xml:space="preserve">L'Éditeur peut, sauf refus exprès du Client, mentionner le nom et le logo du Client à titre de référence commerciale, dans le respect de la charte graphique de ce dernier.</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conserver confidentielles les informations de toute nature, notamment techniques, commerciales et financières, dont elle a connaissance à l'occasion de l'exécution des présentes et qui sont désignées comme confidentielles ou dont le caractère confidentiel résulte de leur nature.</w:t>
      </w:r>
    </w:p>
    <w:p>
      <w:pPr>
        <w:spacing w:after="120" w:line="276"/>
        <w:jc w:val="both"/>
      </w:pPr>
      <w:r>
        <w:t xml:space="preserve">Chaque partie s'interdit de divulguer ces informations à des tiers, sauf à ses préposés, sous-traitants et conseils tenus à une obligation de confidentialité équivalente et dans la mesure nécessaire à l'exécution du contrat.</w:t>
      </w:r>
    </w:p>
    <w:p>
      <w:pPr>
        <w:spacing w:after="120" w:line="276"/>
        <w:jc w:val="both"/>
      </w:pPr>
      <w:r>
        <w:t xml:space="preserve">L'obligation de confidentialité ne s'applique pas aux informations qui sont ou tombent dans le domaine public autrement que par un manquement, qui étaient déjà légitimement connues de la partie réceptrice, ou dont la divulgation est imposée par la loi ou une autorité compétente.</w:t>
      </w:r>
    </w:p>
    <w:p>
      <w:pPr>
        <w:spacing w:after="120" w:line="276"/>
        <w:jc w:val="both"/>
      </w:pPr>
      <w:r>
        <w:t xml:space="preserve">L'obligation de confidentialité demeure en vigueur pendant toute la durée du contrat et pour une durée de [X] années suivant son terme, quelle qu'en soit la cause.</w:t>
      </w:r>
    </w:p>
    <w:p>
      <w:pPr>
        <w:pStyle w:val="Heading1"/>
        <w:spacing w:after="120" w:before="280"/>
      </w:pPr>
      <w:r>
        <w:rPr>
          <w:b/>
          <w:bCs/>
          <w:color w:val="0D1B2E"/>
          <w:sz w:val="24"/>
          <w:szCs w:val="24"/>
        </w:rPr>
        <w:t xml:space="preserve">Article 10. Responsabilité</w:t>
      </w:r>
    </w:p>
    <w:p>
      <w:pPr>
        <w:spacing w:after="120" w:line="276"/>
        <w:jc w:val="both"/>
      </w:pPr>
      <w:r>
        <w:t xml:space="preserve">L'Éditeur est tenu, au titre de la fourniture du Service, d'une obligation de moyens. Il met en œuvre les diligences nécessaires à la bonne exécution des présentes.</w:t>
      </w:r>
    </w:p>
    <w:p>
      <w:pPr>
        <w:spacing w:after="120" w:line="276"/>
        <w:jc w:val="both"/>
      </w:pPr>
      <w:r>
        <w:t xml:space="preserve">La responsabilité de l'Éditeur, tous préjudices et tous faits générateurs confondus, est limitée aux dommages directs et prévisibles. Sont expressément exclus les dommages indirects, notamment la perte d'exploitation, le manque à gagner, la perte de chiffre d'affaires, la perte de clientèle ou l'atteinte à l'image.</w:t>
      </w:r>
    </w:p>
    <w:p>
      <w:pPr>
        <w:spacing w:after="120" w:line="276"/>
        <w:jc w:val="both"/>
      </w:pPr>
      <w:r>
        <w:t xml:space="preserve">En tout état de cause, le montant total des sommes dues par l'Éditeur au titre de sa responsabilité, pour l'ensemble des réclamations survenues au cours d'une même année contractuelle, ne saurait excéder le montant total hors taxes des sommes effectivement versées par le Client au titre de l'abonnement au cours des [X] mois précédant le fait générateur.</w:t>
      </w:r>
    </w:p>
    <w:p>
      <w:pPr>
        <w:spacing w:after="120" w:line="276"/>
        <w:jc w:val="both"/>
      </w:pPr>
      <w:r>
        <w:t xml:space="preserve">Les limitations et exclusions qui précèdent ne s'appliquent ni en cas de faute lourde ou dolosive, ni en cas de dommage corporel, ni dans les cas où la loi en interdit la limitation. Elles ne sauraient priver de sa substance l'obligation essentielle de l'Éditeur, conformément à l'article 1170 du Code civil.</w:t>
      </w:r>
    </w:p>
    <w:p>
      <w:pPr>
        <w:spacing w:after="120" w:line="276"/>
        <w:jc w:val="both"/>
      </w:pPr>
      <w:r>
        <w:t xml:space="preserve">Le Client est seul responsable de l'usage qu'il fait du Service, de l'exactitude et de la licéité des Données Client, ainsi que du respect des présentes CGV par ses Utilisateurs.</w:t>
      </w:r>
    </w:p>
    <w:p>
      <w:pPr>
        <w:spacing w:after="120" w:line="276"/>
        <w:jc w:val="both"/>
      </w:pPr>
      <w:r>
        <w:t xml:space="preserve">Toute réclamation doit, sous peine de forclusion, être notifiée à l'Éditeur dans un délai de [X] jours suivant la survenance du fait générateur.</w:t>
      </w:r>
    </w:p>
    <w:p>
      <w:pPr>
        <w:pStyle w:val="Heading1"/>
        <w:spacing w:after="120" w:before="280"/>
      </w:pPr>
      <w:r>
        <w:rPr>
          <w:b/>
          <w:bCs/>
          <w:color w:val="0D1B2E"/>
          <w:sz w:val="24"/>
          <w:szCs w:val="24"/>
        </w:rPr>
        <w:t xml:space="preserve">Article 11. Durée, reconduction et résiliation</w:t>
      </w:r>
    </w:p>
    <w:p>
      <w:pPr>
        <w:spacing w:after="120" w:line="276"/>
        <w:jc w:val="both"/>
      </w:pPr>
      <w:r>
        <w:t xml:space="preserve">Le contrat prend effet à la date de la Commande et est conclu pour une durée initiale de [X] [mois / année(s)] à compter de la date de mise à disposition du Service.</w:t>
      </w:r>
    </w:p>
    <w:p>
      <w:pPr>
        <w:spacing w:after="120" w:line="276"/>
        <w:jc w:val="both"/>
      </w:pPr>
      <w:r>
        <w:t xml:space="preserve">À l'issue de la durée initiale, le contrat est reconduit tacitement par périodes successives de [X] [mois / année(s)], sauf dénonciation par l'une des parties notifiée à l'autre au moins [X] jours avant l'échéance en cours.</w:t>
      </w:r>
    </w:p>
    <w:p>
      <w:pPr>
        <w:spacing w:after="120" w:line="276"/>
        <w:jc w:val="both"/>
      </w:pPr>
      <w:r>
        <w:t xml:space="preserve">Chaque partie peut résilier le contrat de plein droit en cas de manquement de l'autre partie à l'une de ses obligations essentielles, non réparé dans un délai de [X] jours suivant l'envoi d'une mise en demeure restée infructueuse, sans préjudice de tous dommages et intérêts.</w:t>
      </w:r>
    </w:p>
    <w:p>
      <w:pPr>
        <w:spacing w:after="120" w:line="276"/>
        <w:jc w:val="both"/>
      </w:pPr>
      <w:r>
        <w:t xml:space="preserve">L'Éditeur peut résilier le contrat de plein droit en cas de défaut de paiement persistant, d'usage du Service contraire aux présentes ou de tout acte de nature à compromettre la sécurité ou l'intégrité du Service.</w:t>
      </w:r>
    </w:p>
    <w:p>
      <w:pPr>
        <w:spacing w:after="120" w:line="276"/>
        <w:jc w:val="both"/>
      </w:pPr>
      <w:r>
        <w:t xml:space="preserve">En cas de résiliation aux torts du Client, les sommes dues au titre de la période d'abonnement en cours demeurent exigibles et ne donnent lieu à aucun remboursement.</w:t>
      </w:r>
    </w:p>
    <w:p>
      <w:pPr>
        <w:spacing w:after="120" w:line="276"/>
        <w:jc w:val="both"/>
      </w:pPr>
      <w:r>
        <w:t xml:space="preserve">La résiliation, quelle qu'en soit la cause, entraîne la cessation du droit d'accès et d'usage du Service au terme du préavis, sous réserve des opérations de réversibilité prévues à l'article suivant.</w:t>
      </w:r>
    </w:p>
    <w:p>
      <w:pPr>
        <w:pStyle w:val="Heading1"/>
        <w:spacing w:after="120" w:before="280"/>
      </w:pPr>
      <w:r>
        <w:rPr>
          <w:b/>
          <w:bCs/>
          <w:color w:val="0D1B2E"/>
          <w:sz w:val="24"/>
          <w:szCs w:val="24"/>
        </w:rPr>
        <w:t xml:space="preserve">Article 12. Réversibilité et restitution des données</w:t>
      </w:r>
    </w:p>
    <w:p>
      <w:pPr>
        <w:spacing w:after="120" w:line="276"/>
        <w:jc w:val="both"/>
      </w:pPr>
      <w:r>
        <w:t xml:space="preserve">À l'expiration ou à la résiliation du contrat, l'Éditeur met les Données Client à la disposition du Client, sur sa demande, dans un format structuré et couramment utilisé permettant leur exploitation.</w:t>
      </w:r>
    </w:p>
    <w:p>
      <w:pPr>
        <w:spacing w:after="120" w:line="276"/>
        <w:jc w:val="both"/>
      </w:pPr>
      <w:r>
        <w:t xml:space="preserve">La demande de restitution doit être formulée par le Client dans un délai de [X] jours suivant le terme du contrat. L'Éditeur procède à la mise à disposition des Données Client dans un délai de [X] jours suivant cette demande.</w:t>
      </w:r>
    </w:p>
    <w:p>
      <w:pPr>
        <w:spacing w:after="120" w:line="276"/>
        <w:jc w:val="both"/>
      </w:pPr>
      <w:r>
        <w:t xml:space="preserve">Sur demande du Client, l'Éditeur peut fournir une assistance à la réversibilité, notamment l'accompagnement à la migration des données, selon des modalités et un tarif convenus entre les parties.</w:t>
      </w:r>
    </w:p>
    <w:p>
      <w:pPr>
        <w:spacing w:after="120" w:line="276"/>
        <w:jc w:val="both"/>
      </w:pPr>
      <w:r>
        <w:t xml:space="preserve">À l'expiration du délai de restitution et au plus tard [X] jours après le terme du contrat, l'Éditeur procède à la suppression définitive des Données Client de ses systèmes, sous réserve des obligations légales de conservation. L'Éditeur atteste par écrit de cette suppression sur demande du Client.</w:t>
      </w:r>
    </w:p>
    <w:p>
      <w:pPr>
        <w:spacing w:after="120" w:line="276"/>
        <w:jc w:val="both"/>
      </w:pPr>
      <w:r>
        <w:t xml:space="preserve">L'Éditeur ne saurait être tenu responsable de la perte de Données Client que le Client aurait omis de récupérer dans les délais impartis.</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saurait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informe l'autre partie, dans les meilleurs délais, de la survenance d'un tel événement. Les obligations affectées sont suspendues pendant toute la durée de l'empêchement.</w:t>
      </w:r>
    </w:p>
    <w:p>
      <w:pPr>
        <w:spacing w:after="120" w:line="276"/>
        <w:jc w:val="both"/>
      </w:pPr>
      <w:r>
        <w:t xml:space="preserve">Si le cas de force majeure se prolonge au-delà d'une durée de [X] jours, chaque partie peut résilier le contrat de plein droit, par notification écrite, sans indemnité de part et d'autre.</w:t>
      </w:r>
    </w:p>
    <w:p>
      <w:pPr>
        <w:pStyle w:val="Heading1"/>
        <w:spacing w:after="120" w:before="280"/>
      </w:pPr>
      <w:r>
        <w:rPr>
          <w:b/>
          <w:bCs/>
          <w:color w:val="0D1B2E"/>
          <w:sz w:val="24"/>
          <w:szCs w:val="24"/>
        </w:rPr>
        <w:t xml:space="preserve">Article 14. Dispositions générales</w:t>
      </w:r>
    </w:p>
    <w:p>
      <w:pPr>
        <w:spacing w:after="120" w:line="276"/>
        <w:jc w:val="both"/>
      </w:pPr>
      <w:r>
        <w:t xml:space="preserve">Si l'une quelconque des stipulations des présentes CGV est déclarée nulle ou inapplicable, les autres stipulations conservent leur pleine force et effet.</w:t>
      </w:r>
    </w:p>
    <w:p>
      <w:pPr>
        <w:spacing w:after="120" w:line="276"/>
        <w:jc w:val="both"/>
      </w:pPr>
      <w:r>
        <w:t xml:space="preserve">Le fait pour l'une des parties de ne pas se prévaloir d'un manquement de l'autre partie à l'une de ses obligations ne saurait valoir renonciation à s'en prévaloir ultérieurement.</w:t>
      </w:r>
    </w:p>
    <w:p>
      <w:pPr>
        <w:spacing w:after="120" w:line="276"/>
        <w:jc w:val="both"/>
      </w:pPr>
      <w:r>
        <w:t xml:space="preserve">Le Client ne peut céder ni transférer les présentes, en tout ou partie, sans l'accord préalable et écrit de l'Éditeur. L'Éditeur peut céder ou transférer le contrat à toute société de son groupe ou dans le cadre d'une opération de restructuration.</w:t>
      </w:r>
    </w:p>
    <w:p>
      <w:pPr>
        <w:spacing w:after="120" w:line="276"/>
        <w:jc w:val="both"/>
      </w:pPr>
      <w:r>
        <w:t xml:space="preserve">Les présentes CGV, la Commande et leurs annexes expriment l'intégralité de l'accord des parties et prévalent sur toute proposition, correspondance ou accord antérieur.</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Les présentes CGV sont soumises au droit français.</w:t>
      </w:r>
    </w:p>
    <w:p>
      <w:pPr>
        <w:spacing w:after="120" w:line="276"/>
        <w:jc w:val="both"/>
      </w:pPr>
      <w:r>
        <w:t xml:space="preserve">Les actions nées de la relation commerciale se prescrivent par cinq ans, conformément à l'article L. 110-4 du Code de commerce.</w:t>
      </w:r>
    </w:p>
    <w:p>
      <w:pPr>
        <w:spacing w:after="120" w:line="276"/>
        <w:jc w:val="both"/>
      </w:pPr>
      <w:r>
        <w:t xml:space="preserve">En cas de différend relatif à la formation, l'interprétation, l'exécution ou la cessation des présentes, les parties s'efforcent de rechercher une solution amiable dans un délai de [X] jours à compter de la notification du différend par l'une des parties à l'autre.</w:t>
      </w:r>
    </w:p>
    <w:p>
      <w:pPr>
        <w:spacing w:after="120" w:line="276"/>
        <w:jc w:val="both"/>
      </w:pPr>
      <w:r>
        <w:t xml:space="preserve">À défaut de résolution amiable, tout litige sera soumis à la compétence exclusive du Tribunal de commerce de [ville], nonobstant pluralité de défendeurs ou appel en garantie.</w:t>
      </w:r>
    </w:p>
    <w:p>
      <w:pPr>
        <w:spacing w:before="400"/>
      </w:pPr>
    </w:p>
    <w:p>
      <w:pPr>
        <w:spacing w:after="120" w:line="276"/>
        <w:jc w:val="both"/>
      </w:pPr>
      <w:r>
        <w:t xml:space="preserve">Les présentes conditions générales de vente sont acceptées par le Client au moyen de la case d'acceptation prévue lors de la souscription, ou à défaut par son premier accès au Service.</w:t>
      </w:r>
    </w:p>
    <w:p>
      <w:pPr>
        <w:spacing w:after="120" w:line="276"/>
        <w:jc w:val="both"/>
      </w:pPr>
      <w:r>
        <w:t xml:space="preserve">Case à cocher : Je reconnais avoir pris connaissance des présentes conditions générales de vente et je les accepte sans réserve.</w:t>
      </w:r>
    </w:p>
    <w:p>
      <w:pPr>
        <w:spacing w:after="120" w:line="276"/>
        <w:jc w:val="both"/>
      </w:pPr>
      <w:r>
        <w:t xml:space="preserve">Fait à [ville], le [date].</w:t>
      </w:r>
    </w:p>
    <w:p>
      <w:pPr>
        <w:spacing w:after="120" w:line="276"/>
        <w:jc w:val="both"/>
      </w:pPr>
      <w:r>
        <w:t xml:space="preserve">Version des CGV : [numéro de version], en vigueur à compter du [date d'entrée en vigueur].</w:t>
      </w:r>
    </w:p>
    <w:p>
      <w:pPr>
        <w:spacing w:after="120" w:line="276"/>
        <w:jc w:val="both"/>
      </w:pPr>
      <w:r>
        <w:t xml:space="preserve">L'Éditeur : [Dénomination sociale]</w:t>
      </w:r>
    </w:p>
    <w:p>
      <w:pPr>
        <w:spacing w:after="120" w:line="276"/>
        <w:jc w:val="both"/>
      </w:pPr>
      <w:r>
        <w:t xml:space="preserve">Le Client : [Dénomination sociale], représenté par [nom et qualité]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DU SERVICE LOGICIEL EN LIGNE (SAAS)</dc:title>
  <dc:creator>Pactolane</dc:creator>
  <dc:description>Modele de contrat Pactolane, a adapter.</dc:description>
  <cp:lastModifiedBy>Un-named</cp:lastModifiedBy>
  <cp:revision>1</cp:revision>
  <dcterms:created xsi:type="dcterms:W3CDTF">2026-07-19T22:13:58.282Z</dcterms:created>
  <dcterms:modified xsi:type="dcterms:W3CDTF">2026-07-19T22:13:58.282Z</dcterms:modified>
</cp:coreProperties>
</file>

<file path=docProps/custom.xml><?xml version="1.0" encoding="utf-8"?>
<Properties xmlns="http://schemas.openxmlformats.org/officeDocument/2006/custom-properties" xmlns:vt="http://schemas.openxmlformats.org/officeDocument/2006/docPropsVTypes"/>
</file>