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D'ACCÈS À UNE INTERFACE DE PROGRAMMATION (API)</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Fournisseur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Client »,</w:t>
      </w:r>
    </w:p>
    <w:p>
      <w:pPr>
        <w:spacing w:after="120" w:line="276"/>
        <w:jc w:val="both"/>
      </w:pPr>
      <w:r>
        <w:t xml:space="preserve">D'autre part,</w:t>
      </w:r>
    </w:p>
    <w:p>
      <w:pPr>
        <w:spacing w:after="120" w:line="276"/>
        <w:jc w:val="both"/>
      </w:pPr>
      <w:r>
        <w:t xml:space="preserve">Le Fournisseur et le Client étant ci-après désignés individuellement une « Partie » et collectivement les « Parties ».</w:t>
      </w:r>
    </w:p>
    <w:p>
      <w:pPr>
        <w:spacing w:after="120" w:line="276"/>
        <w:jc w:val="both"/>
      </w:pPr>
      <w:r>
        <w:t xml:space="preserve">IL A ÉTÉ PRÉALABLEMENT EXPOSÉ CE QUI SUIT :</w:t>
      </w:r>
    </w:p>
    <w:p>
      <w:pPr>
        <w:spacing w:after="120" w:line="276"/>
        <w:jc w:val="both"/>
      </w:pPr>
      <w:r>
        <w:t xml:space="preserve">Le Fournisseur exploite un service accessible au moyen d'une interface de programmation applicative (Application Programming Interface, ci-après l'« API ») permettant à des entreprises tierces d'interroger, de façon programmatique, tout ou partie de ses fonctionnalités ou de ses données.</w:t>
      </w:r>
    </w:p>
    <w:p>
      <w:pPr>
        <w:spacing w:after="120" w:line="276"/>
        <w:jc w:val="both"/>
      </w:pPr>
      <w:r>
        <w:t xml:space="preserve">Le Client souhaite intégrer cette API dans son propre système d'information, son application ou son produit, aux fins décrites à l'article 2 des présentes.</w:t>
      </w:r>
    </w:p>
    <w:p>
      <w:pPr>
        <w:spacing w:after="120" w:line="276"/>
        <w:jc w:val="both"/>
      </w:pPr>
      <w:r>
        <w:t xml:space="preserve">Les Parties se sont rapprochées afin de définir les conditions techniques, financières et juridiques de la mise à disposition et de l'usage de l'API. Le présent contrat n'emporte aucune cession de logiciel ni transfert de propriété : il concède un droit d'accès contrôlé et révocable dans les conditions ci-après.</w:t>
      </w:r>
    </w:p>
    <w:p>
      <w:pPr>
        <w:spacing w:after="120" w:line="276"/>
        <w:jc w:val="both"/>
      </w:pPr>
      <w:r>
        <w:t xml:space="preserve">CECI EXPOSÉ, IL A ÉTÉ CONVENU ET ARRÊTÉ CE QUI SUIT :</w:t>
      </w:r>
    </w:p>
    <w:p>
      <w:pPr>
        <w:pStyle w:val="Heading1"/>
        <w:spacing w:after="120" w:before="280"/>
      </w:pPr>
      <w:r>
        <w:rPr>
          <w:b/>
          <w:bCs/>
          <w:color w:val="0D1B2E"/>
          <w:sz w:val="24"/>
          <w:szCs w:val="24"/>
        </w:rPr>
        <w:t xml:space="preserve">Article 1. Définitions</w:t>
      </w:r>
    </w:p>
    <w:p>
      <w:pPr>
        <w:spacing w:after="120" w:line="276"/>
        <w:jc w:val="both"/>
      </w:pPr>
      <w:r>
        <w:t xml:space="preserve">Pour l'interprétation et l'exécution du présent contrat, les termes ci-dessous, employés avec une majuscule, ont la signification suivante :</w:t>
      </w:r>
    </w:p>
    <w:p>
      <w:pPr>
        <w:spacing w:after="120" w:line="276"/>
        <w:jc w:val="both"/>
      </w:pPr>
      <w:r>
        <w:t xml:space="preserve">(a) « API » : l'interface de programmation applicative exposée par le Fournisseur, incluant l'ensemble des points d'accès (endpoints), méthodes, protocoles et formats d'échange décrits dans la Documentation.</w:t>
      </w:r>
    </w:p>
    <w:p>
      <w:pPr>
        <w:spacing w:after="120" w:line="276"/>
        <w:jc w:val="both"/>
      </w:pPr>
      <w:r>
        <w:t xml:space="preserve">(b) « Clé d'accès » : tout identifiant, clé, jeton (token) ou certificat délivré au Client permettant l'authentification de ses appels à l'API.</w:t>
      </w:r>
    </w:p>
    <w:p>
      <w:pPr>
        <w:spacing w:after="120" w:line="276"/>
        <w:jc w:val="both"/>
      </w:pPr>
      <w:r>
        <w:t xml:space="preserve">(c) « Composants clients » : les kits de développement (SDK), bibliothèques logicielles, extraits de code ou outils éventuellement mis à disposition par le Fournisseur pour faciliter l'usage de l'API.</w:t>
      </w:r>
    </w:p>
    <w:p>
      <w:pPr>
        <w:spacing w:after="120" w:line="276"/>
        <w:jc w:val="both"/>
      </w:pPr>
      <w:r>
        <w:t xml:space="preserve">(d) « Documentation » : l'ensemble de la documentation technique et fonctionnelle décrivant l'API, ses points d'accès, ses versions, ses quotas et ses conditions d'usage, accessible à l'adresse [URL de la documentation] ou remise au Client.</w:t>
      </w:r>
    </w:p>
    <w:p>
      <w:pPr>
        <w:spacing w:after="120" w:line="276"/>
        <w:jc w:val="both"/>
      </w:pPr>
      <w:r>
        <w:t xml:space="preserve">(e) « Données du Client » : les données, en ce compris les éventuelles données à caractère personnel, transmises par le Client à l'API ou obtenues par lui au moyen de l'API dans le cadre de son usage.</w:t>
      </w:r>
    </w:p>
    <w:p>
      <w:pPr>
        <w:spacing w:after="120" w:line="276"/>
        <w:jc w:val="both"/>
      </w:pPr>
      <w:r>
        <w:t xml:space="preserve">(f) « Quota » : la limite d'appels à l'API applicable au Client sur une période donnée, telle que définie à l'article 4 et dans la Documentation.</w:t>
      </w:r>
    </w:p>
    <w:p>
      <w:pPr>
        <w:spacing w:after="120" w:line="276"/>
        <w:jc w:val="both"/>
      </w:pPr>
      <w:r>
        <w:t xml:space="preserve">(g) « SLA » : l'engagement de niveaux de service défini à l'article 5.</w:t>
      </w:r>
    </w:p>
    <w:p>
      <w:pPr>
        <w:pStyle w:val="Heading1"/>
        <w:spacing w:after="120" w:before="280"/>
      </w:pPr>
      <w:r>
        <w:rPr>
          <w:b/>
          <w:bCs/>
          <w:color w:val="0D1B2E"/>
          <w:sz w:val="24"/>
          <w:szCs w:val="24"/>
        </w:rPr>
        <w:t xml:space="preserve">Article 2. Objet et périmètre de l'API</w:t>
      </w:r>
    </w:p>
    <w:p>
      <w:pPr>
        <w:spacing w:after="120" w:line="276"/>
        <w:jc w:val="both"/>
      </w:pPr>
      <w:r>
        <w:t xml:space="preserve">Le présent contrat a pour objet de définir les conditions dans lesquelles le Fournisseur met l'API à la disposition du Client, et les conditions dans lesquelles le Client est autorisé à y accéder et à l'utiliser.</w:t>
      </w:r>
    </w:p>
    <w:p>
      <w:pPr>
        <w:spacing w:after="120" w:line="276"/>
        <w:jc w:val="both"/>
      </w:pPr>
      <w:r>
        <w:t xml:space="preserve">L'API mise à disposition permet au Client d'accéder aux fonctionnalités et services suivants : [description précise de l'API, de son objet fonctionnel et des données ou traitements accessibles].</w:t>
      </w:r>
    </w:p>
    <w:p>
      <w:pPr>
        <w:spacing w:after="120" w:line="276"/>
        <w:jc w:val="both"/>
      </w:pPr>
      <w:r>
        <w:t xml:space="preserve">Le périmètre de l'accès couvre les points d'accès (endpoints) et versions décrits dans la Documentation, à savoir notamment : [liste ou renvoi aux points d'accès couverts].</w:t>
      </w:r>
    </w:p>
    <w:p>
      <w:pPr>
        <w:spacing w:after="120" w:line="276"/>
        <w:jc w:val="both"/>
      </w:pPr>
      <w:r>
        <w:t xml:space="preserve">Toute fonctionnalité, tout point d'accès ou tout volume non expressément inclus dans le périmètre défini ci-dessus relève d'une option ou d'un service distinct, soumis à un accord écrit préalable et, le cas échéant, à une facturation complémentaire.</w:t>
      </w:r>
    </w:p>
    <w:p>
      <w:pPr>
        <w:spacing w:after="120" w:line="276"/>
        <w:jc w:val="both"/>
      </w:pPr>
      <w:r>
        <w:t xml:space="preserve">La Documentation fait partie intégrante du présent contrat. En cas de contradiction entre le corps du contrat et la Documentation, le corps du contrat prévaut.</w:t>
      </w:r>
    </w:p>
    <w:p>
      <w:pPr>
        <w:pStyle w:val="Heading1"/>
        <w:spacing w:after="120" w:before="280"/>
      </w:pPr>
      <w:r>
        <w:rPr>
          <w:b/>
          <w:bCs/>
          <w:color w:val="0D1B2E"/>
          <w:sz w:val="24"/>
          <w:szCs w:val="24"/>
        </w:rPr>
        <w:t xml:space="preserve">Article 3. Droit d'accès et licence</w:t>
      </w:r>
    </w:p>
    <w:p>
      <w:pPr>
        <w:spacing w:after="120" w:line="276"/>
        <w:jc w:val="both"/>
      </w:pPr>
      <w:r>
        <w:t xml:space="preserve">Sous réserve du respect par le Client de l'ensemble de ses obligations, notamment du paiement du prix, le Fournisseur concède au Client, pour la durée du contrat, un droit d'accès et d'utilisation de l'API personnel, non exclusif, non cessible et non transférable, limité au périmètre défini à l'article 2.</w:t>
      </w:r>
    </w:p>
    <w:p>
      <w:pPr>
        <w:spacing w:after="120" w:line="276"/>
        <w:jc w:val="both"/>
      </w:pPr>
      <w:r>
        <w:t xml:space="preserve">Le droit concédé porte, le cas échéant, sur les Composants clients mis à disposition, dans la seule mesure nécessaire à l'usage de l'API. Cette licence est concédée à titre non exclusif, non cessible et pour la seule durée du contrat.</w:t>
      </w:r>
    </w:p>
    <w:p>
      <w:pPr>
        <w:spacing w:after="120" w:line="276"/>
        <w:jc w:val="both"/>
      </w:pPr>
      <w:r>
        <w:t xml:space="preserve">Le Fournisseur conserve l'intégralité des droits de propriété intellectuelle sur l'API, la Documentation, les Composants clients et l'ensemble des éléments qui les composent, conformément aux articles L. 122-6 et suivants du Code de la propriété intellectuelle. Aucune stipulation du présent contrat ne saurait être interprétée comme emportant cession d'un quelconque droit de propriété au profit du Client.</w:t>
      </w:r>
    </w:p>
    <w:p>
      <w:pPr>
        <w:spacing w:after="120" w:line="276"/>
        <w:jc w:val="both"/>
      </w:pPr>
      <w:r>
        <w:t xml:space="preserve">Le Client s'interdit, sauf autorisation écrite préalable du Fournisseur : de céder, sous-licencier, louer ou mettre à disposition de tiers son accès à l'API ; de contourner ou tenter de contourner les mesures techniques d'authentification, de quota ou de sécurité ; de procéder à toute opération de décompilation ou d'ingénierie inverse des Composants clients au-delà de ce que permet l'article L. 122-6-1 du Code de la propriété intellectuelle aux fins d'interopérabilité ; d'utiliser l'API à des fins illicites ou contraires à l'ordre public.</w:t>
      </w:r>
    </w:p>
    <w:p>
      <w:pPr>
        <w:spacing w:after="120" w:line="276"/>
        <w:jc w:val="both"/>
      </w:pPr>
      <w:r>
        <w:t xml:space="preserve">Lorsque l'API donne accès à une base de données du Fournisseur, celui-ci demeure titulaire du droit du producteur de base de données au sens des articles L. 341-1 et suivants du Code de la propriété intellectuelle. Le Client s'interdit toute extraction ou réutilisation d'une partie substantielle du contenu de cette base excédant l'usage convenu.</w:t>
      </w:r>
    </w:p>
    <w:p>
      <w:pPr>
        <w:pStyle w:val="Heading1"/>
        <w:spacing w:after="120" w:before="280"/>
      </w:pPr>
      <w:r>
        <w:rPr>
          <w:b/>
          <w:bCs/>
          <w:color w:val="0D1B2E"/>
          <w:sz w:val="24"/>
          <w:szCs w:val="24"/>
        </w:rPr>
        <w:t xml:space="preserve">Article 4. Clés d'accès, authentification et quotas</w:t>
      </w:r>
    </w:p>
    <w:p>
      <w:pPr>
        <w:spacing w:after="120" w:line="276"/>
        <w:jc w:val="both"/>
      </w:pPr>
      <w:r>
        <w:t xml:space="preserve">L'accès à l'API s'effectue au moyen d'une ou plusieurs Clés d'accès délivrées par le Fournisseur au Client. Le Client est seul responsable de la conservation, de la confidentialité et de l'usage de ses Clés d'accès. Tout appel effectué au moyen d'une Clé d'accès du Client est réputé émaner du Client.</w:t>
      </w:r>
    </w:p>
    <w:p>
      <w:pPr>
        <w:spacing w:after="120" w:line="276"/>
        <w:jc w:val="both"/>
      </w:pPr>
      <w:r>
        <w:t xml:space="preserve">Le Client informe sans délai le Fournisseur de toute compromission, perte ou usage non autorisé d'une Clé d'accès. Le Fournisseur procède alors, dans les meilleurs délais, à la révocation et au remplacement de la Clé concernée.</w:t>
      </w:r>
    </w:p>
    <w:p>
      <w:pPr>
        <w:spacing w:after="120" w:line="276"/>
        <w:jc w:val="both"/>
      </w:pPr>
      <w:r>
        <w:t xml:space="preserve">Les Parties peuvent convenir d'une rotation périodique des Clés d'accès. Les modalités et la fréquence de cette rotation sont précisées dans la Documentation ou définies comme suit : [modalités de rotation].</w:t>
      </w:r>
    </w:p>
    <w:p>
      <w:pPr>
        <w:spacing w:after="120" w:line="276"/>
        <w:jc w:val="both"/>
      </w:pPr>
      <w:r>
        <w:t xml:space="preserve">L'usage de l'API est soumis aux Quotas suivants : [nombre] appels par [seconde / minute / heure / jour / mois], et le cas échéant [autres limites : volume de données, débit, appels simultanés]. Ces limites sont mesurées selon un mode de comptage documenté et vérifiable par le Client, décrit dans la Documentation.</w:t>
      </w:r>
    </w:p>
    <w:p>
      <w:pPr>
        <w:spacing w:after="120" w:line="276"/>
        <w:jc w:val="both"/>
      </w:pPr>
      <w:r>
        <w:t xml:space="preserve">En cas de dépassement d'un Quota, le Fournisseur applique, après information du Client, l'une des conséquences suivantes convenue entre les Parties : (a) facturation des appels excédentaires au tarif figurant à l'article 7 ; (b) limitation temporaire du débit (bridage) ; (c) suspension de l'accès jusqu'à régularisation. Le Fournisseur ne peut suspendre l'accès pour dépassement de Quota qu'après avoir adressé au Client une alerte préalable, sauf abus manifeste.</w:t>
      </w:r>
    </w:p>
    <w:p>
      <w:pPr>
        <w:spacing w:after="120" w:line="276"/>
        <w:jc w:val="both"/>
      </w:pPr>
      <w:r>
        <w:t xml:space="preserve">Le Fournisseur peut suspendre immédiatement, sans préavis, tout ou partie de l'accès du Client en cas d'abus avéré, d'atteinte à la sécurité ou à l'intégrité du service, ou de menace sérieuse pesant sur l'API ou sur les tiers. Cette suspension d'urgence, strictement proportionnée et limitée à la durée de la menace, est distincte de la résiliation ordinaire régie par l'article 11 et fait l'objet d'une information du Client dans les meilleurs délais avec indication du motif.</w:t>
      </w:r>
    </w:p>
    <w:p>
      <w:pPr>
        <w:spacing w:after="120" w:line="276"/>
        <w:jc w:val="both"/>
      </w:pPr>
      <w:r>
        <w:t xml:space="preserve">Hors les cas de suspension d'urgence visés à l'alinéa précédent, toute révocation ou désactivation des Clés d'accès à l'initiative du Fournisseur est soumise au préavis prévu à l'article 11.</w:t>
      </w:r>
    </w:p>
    <w:p>
      <w:pPr>
        <w:pStyle w:val="Heading1"/>
        <w:spacing w:after="120" w:before="280"/>
      </w:pPr>
      <w:r>
        <w:rPr>
          <w:b/>
          <w:bCs/>
          <w:color w:val="0D1B2E"/>
          <w:sz w:val="24"/>
          <w:szCs w:val="24"/>
        </w:rPr>
        <w:t xml:space="preserve">Article 5. Niveaux de service et disponibilité</w:t>
      </w:r>
    </w:p>
    <w:p>
      <w:pPr>
        <w:spacing w:after="120" w:line="276"/>
        <w:jc w:val="both"/>
      </w:pPr>
      <w:r>
        <w:t xml:space="preserve">Le Fournisseur s'engage à mettre en œuvre les moyens nécessaires pour assurer la disponibilité de l'API selon un taux cible de [X] % mesuré sur une période mensuelle, hors fenêtres de maintenance planifiée.</w:t>
      </w:r>
    </w:p>
    <w:p>
      <w:pPr>
        <w:spacing w:after="120" w:line="276"/>
        <w:jc w:val="both"/>
      </w:pPr>
      <w:r>
        <w:t xml:space="preserve">Le taux de disponibilité se calcule selon la formule et le mode de mesure décrits dans la Documentation, en excluant les périodes d'indisponibilité imputables à un cas de force majeure, à une défaillance des réseaux ou équipements du Client, ou à une utilisation non conforme au contrat.</w:t>
      </w:r>
    </w:p>
    <w:p>
      <w:pPr>
        <w:spacing w:after="120" w:line="276"/>
        <w:jc w:val="both"/>
      </w:pPr>
      <w:r>
        <w:t xml:space="preserve">Les opérations de maintenance planifiée sont réalisées, dans la mesure du possible, en dehors des heures ouvrées et font l'objet d'un préavis d'au moins [X] jours adressé au Client. Les interventions de maintenance d'urgence peuvent être réalisées à tout moment, avec information du Client dans les meilleurs délais.</w:t>
      </w:r>
    </w:p>
    <w:p>
      <w:pPr>
        <w:spacing w:after="120" w:line="276"/>
        <w:jc w:val="both"/>
      </w:pPr>
      <w:r>
        <w:t xml:space="preserve">En cas d'incident affectant la disponibilité de l'API, le Fournisseur s'engage à un délai de prise en compte de [X] heures et à un délai de rétablissement cible de [X] heures, selon le niveau de gravité défini dans la Documentation.</w:t>
      </w:r>
    </w:p>
    <w:p>
      <w:pPr>
        <w:spacing w:after="120" w:line="276"/>
        <w:jc w:val="both"/>
      </w:pPr>
      <w:r>
        <w:t xml:space="preserve">En cas de non-respect du taux de disponibilité cible, le Client peut prétendre aux pénalités suivantes : [barème de pénalités, par exemple avoir de X % du montant mensuel par tranche d'indisponibilité]. Ces pénalités constituent le seul dédommagement au titre du manquement au taux de disponibilité, sans préjudice de la faculté de résiliation prévue à l'article 11 en cas de manquements répétés ou graves.</w:t>
      </w:r>
    </w:p>
    <w:p>
      <w:pPr>
        <w:spacing w:after="120" w:line="276"/>
        <w:jc w:val="both"/>
      </w:pPr>
      <w:r>
        <w:t xml:space="preserve">L'obligation du Fournisseur au titre du présent article constitue une obligation de moyens renforcée.</w:t>
      </w:r>
    </w:p>
    <w:p>
      <w:pPr>
        <w:pStyle w:val="Heading1"/>
        <w:spacing w:after="120" w:before="280"/>
      </w:pPr>
      <w:r>
        <w:rPr>
          <w:b/>
          <w:bCs/>
          <w:color w:val="0D1B2E"/>
          <w:sz w:val="24"/>
          <w:szCs w:val="24"/>
        </w:rPr>
        <w:t xml:space="preserve">Article 6. Support, versions et évolutions</w:t>
      </w:r>
    </w:p>
    <w:p>
      <w:pPr>
        <w:spacing w:after="120" w:line="276"/>
        <w:jc w:val="both"/>
      </w:pPr>
      <w:r>
        <w:t xml:space="preserve">Le Fournisseur fournit au Client un support technique portant sur l'usage de l'API, accessible par les canaux suivants : [adresse électronique, portail, téléphone] aux horaires suivants : [plage horaire et jours ouvrés].</w:t>
      </w:r>
    </w:p>
    <w:p>
      <w:pPr>
        <w:spacing w:after="120" w:line="276"/>
        <w:jc w:val="both"/>
      </w:pPr>
      <w:r>
        <w:t xml:space="preserve">Les demandes de support sont traitées selon les délais de prise en charge suivants, en fonction du niveau de gravité de l'incident : incident bloquant, [X] heures ; incident majeur, [X] heures ; demande courante, [X] jours ouvrés.</w:t>
      </w:r>
    </w:p>
    <w:p>
      <w:pPr>
        <w:spacing w:after="120" w:line="276"/>
        <w:jc w:val="both"/>
      </w:pPr>
      <w:r>
        <w:t xml:space="preserve">Le Fournisseur peut faire évoluer l'API, ses points d'accès et ses fonctionnalités. Toute évolution est mise en œuvre dans le respect d'une politique de versions garantissant la compatibilité et la continuité de l'intégration du Client.</w:t>
      </w:r>
    </w:p>
    <w:p>
      <w:pPr>
        <w:spacing w:after="120" w:line="276"/>
        <w:jc w:val="both"/>
      </w:pPr>
      <w:r>
        <w:t xml:space="preserve">Le Fournisseur informe le Client de tout changement susceptible d'affecter la compatibilité de son intégration (rupture de compatibilité, dépréciation d'un point d'accès ou d'une version) moyennant un préavis d'au moins [X] jours avant sa mise en œuvre. Pendant ce délai, la version antérieure demeure accessible afin de permettre au Client d'adapter son intégration.</w:t>
      </w:r>
    </w:p>
    <w:p>
      <w:pPr>
        <w:spacing w:after="120" w:line="276"/>
        <w:jc w:val="both"/>
      </w:pPr>
      <w:r>
        <w:t xml:space="preserve">Le Fournisseur maintient chaque version de l'API pendant une durée minimale de [X] mois à compter de l'annonce de sa dépréciation, sauf contrainte impérative de sécurité imposant un retrait plus rapide, dûment motivée et notifiée au Client.</w:t>
      </w:r>
    </w:p>
    <w:p>
      <w:pPr>
        <w:pStyle w:val="Heading1"/>
        <w:spacing w:after="120" w:before="280"/>
      </w:pPr>
      <w:r>
        <w:rPr>
          <w:b/>
          <w:bCs/>
          <w:color w:val="0D1B2E"/>
          <w:sz w:val="24"/>
          <w:szCs w:val="24"/>
        </w:rPr>
        <w:t xml:space="preserve">Article 7. Prix, facturation et révision</w:t>
      </w:r>
    </w:p>
    <w:p>
      <w:pPr>
        <w:spacing w:after="120" w:line="276"/>
        <w:jc w:val="both"/>
      </w:pPr>
      <w:r>
        <w:t xml:space="preserve">En contrepartie de l'accès à l'API, le Client verse au Fournisseur : (a) un abonnement d'un montant de [montant] euros hors taxes par [mois / trimestre / an] ; et le cas échéant (b) une facturation à l'usage calculée sur la base de [prix unitaire] euros hors taxes par [unité : appel, tranche d'appels, volume de données].</w:t>
      </w:r>
    </w:p>
    <w:p>
      <w:pPr>
        <w:spacing w:after="120" w:line="276"/>
        <w:jc w:val="both"/>
      </w:pPr>
      <w:r>
        <w:t xml:space="preserve">La facturation à l'usage repose sur le comptage des appels tel que décrit à l'article 4. Les données de comptage sont mises à la disposition du Client de façon transparente et lui sont opposables, sous réserve de son droit de contestation motivée dans un délai de [X] jours à compter de la réception de la facture.</w:t>
      </w:r>
    </w:p>
    <w:p>
      <w:pPr>
        <w:spacing w:after="120" w:line="276"/>
        <w:jc w:val="both"/>
      </w:pPr>
      <w:r>
        <w:t xml:space="preserve">Les factures sont émises selon la périodicité [mensuelle / trimestrielle / annuelle] et payables dans un délai de [X] jours à compter de leur date d'émission, ce délai ne pouvant excéder le plafond fixé par l'article L. 441-10 du Code de commerce.</w:t>
      </w:r>
    </w:p>
    <w:p>
      <w:pPr>
        <w:spacing w:after="120" w:line="276"/>
        <w:jc w:val="both"/>
      </w:pPr>
      <w:r>
        <w:t xml:space="preserve">Tout retard de paiement entraîne de plein droit, sans mise en demeure préalable, l'application de pénalités de retard au taux prévu à l'article L. 441-10 du Code de commerce, ainsi que l'indemnité forfaitaire pour frais de recouvrement de quarante (40) euros prévue à l'article D. 441-5 du même code.</w:t>
      </w:r>
    </w:p>
    <w:p>
      <w:pPr>
        <w:spacing w:after="120" w:line="276"/>
        <w:jc w:val="both"/>
      </w:pPr>
      <w:r>
        <w:t xml:space="preserve">Les prix peuvent être révisés à l'occasion de chaque reconduction du contrat. Toute révision est notifiée au Client moyennant un préavis d'au moins [X] jours avant sa prise d'effet. À défaut d'acceptation par le Client, celui-ci dispose de la faculté de résilier le contrat dans les conditions de l'article 11, sans pénalité, avant l'entrée en vigueur du nouveau tarif.</w:t>
      </w:r>
    </w:p>
    <w:p>
      <w:pPr>
        <w:spacing w:after="120" w:line="276"/>
        <w:jc w:val="both"/>
      </w:pPr>
      <w:r>
        <w:t xml:space="preserve">Les prix s'entendent hors taxes et sont majorés de la taxe sur la valeur ajoutée au taux en vigueur.</w:t>
      </w:r>
    </w:p>
    <w:p>
      <w:pPr>
        <w:pStyle w:val="Heading1"/>
        <w:spacing w:after="120" w:before="280"/>
      </w:pPr>
      <w:r>
        <w:rPr>
          <w:b/>
          <w:bCs/>
          <w:color w:val="0D1B2E"/>
          <w:sz w:val="24"/>
          <w:szCs w:val="24"/>
        </w:rPr>
        <w:t xml:space="preserve">Article 8. Sécurité informatique et données à caractère personnel</w:t>
      </w:r>
    </w:p>
    <w:p>
      <w:pPr>
        <w:spacing w:after="120" w:line="276"/>
        <w:jc w:val="both"/>
      </w:pPr>
      <w:r>
        <w:t xml:space="preserve">Chaque Partie met en œuvre des mesures techniques et organisationnelles appropriées afin d'assurer la sécurité, l'intégrité et la confidentialité des données échangées au moyen de l'API, en particulier le chiffrement des flux, le contrôle des accès et la journalisation des opérations.</w:t>
      </w:r>
    </w:p>
    <w:p>
      <w:pPr>
        <w:spacing w:after="120" w:line="276"/>
        <w:jc w:val="both"/>
      </w:pPr>
      <w:r>
        <w:t xml:space="preserve">Lorsque l'API conduit le Fournisseur à traiter des données à caractère personnel pour le compte du Client, le Fournisseur agit en qualité de sous-traitant au sens de l'article 28 du Règlement (UE) 2016/679 (RGPD). Les Parties concluent à cet effet un acte de sous-traitance conforme à l'article 28 du RGPD, annexé au présent contrat, qui précise l'objet, la durée, la nature et la finalité du traitement, les catégories de données et de personnes concernées, ainsi que les obligations respectives des Parties.</w:t>
      </w:r>
    </w:p>
    <w:p>
      <w:pPr>
        <w:spacing w:after="120" w:line="276"/>
        <w:jc w:val="both"/>
      </w:pPr>
      <w:r>
        <w:t xml:space="preserve">Le Fournisseur s'engage à ne traiter les données à caractère personnel que sur instruction documentée du Client, à garantir la confidentialité des personnes autorisées à les traiter, et à mettre en œuvre les mesures de sécurité prévues à l'article 32 du RGPD.</w:t>
      </w:r>
    </w:p>
    <w:p>
      <w:pPr>
        <w:spacing w:after="120" w:line="276"/>
        <w:jc w:val="both"/>
      </w:pPr>
      <w:r>
        <w:t xml:space="preserve">Le recours par le Fournisseur à un sous-traitant ultérieur est subordonné à l'autorisation préalable, générale ou spécifique, du Client. Le Fournisseur informe le Client de tout changement envisagé concernant l'ajout ou le remplacement d'un sous-traitant ultérieur, laissant au Client la possibilité d'émettre des objections. Le Fournisseur demeure pleinement responsable, à l'égard du Client, du respect par ses sous-traitants ultérieurs de leurs obligations.</w:t>
      </w:r>
    </w:p>
    <w:p>
      <w:pPr>
        <w:spacing w:after="120" w:line="276"/>
        <w:jc w:val="both"/>
      </w:pPr>
      <w:r>
        <w:t xml:space="preserve">La localisation des données est fixée comme suit : [pays ou zone d'hébergement]. Tout transfert de données à caractère personnel en dehors de l'Union européenne n'est réalisé que dans le respect des articles 44 à 49 du RGPD, au moyen d'un mécanisme de transfert approprié, notamment les clauses contractuelles types de la Commission européenne.</w:t>
      </w:r>
    </w:p>
    <w:p>
      <w:pPr>
        <w:spacing w:after="120" w:line="276"/>
        <w:jc w:val="both"/>
      </w:pPr>
      <w:r>
        <w:t xml:space="preserve">En cas de violation de données à caractère personnel, le Fournisseur en informe le Client dans les meilleurs délais et au plus tard [X] heures après en avoir pris connaissance, et lui apporte son assistance pour l'accomplissement des obligations prévues aux articles 33 et 34 du RGPD.</w:t>
      </w:r>
    </w:p>
    <w:p>
      <w:pPr>
        <w:spacing w:after="120" w:line="276"/>
        <w:jc w:val="both"/>
      </w:pPr>
      <w:r>
        <w:t xml:space="preserve">Le Fournisseur met à la disposition du Client toutes les informations nécessaires pour démontrer le respect des obligations de l'article 28 du RGPD et permet la réalisation d'audits, dans les conditions définies par l'acte de sous-traitance.</w:t>
      </w:r>
    </w:p>
    <w:p>
      <w:pPr>
        <w:pStyle w:val="Heading1"/>
        <w:spacing w:after="120" w:before="280"/>
      </w:pPr>
      <w:r>
        <w:rPr>
          <w:b/>
          <w:bCs/>
          <w:color w:val="0D1B2E"/>
          <w:sz w:val="24"/>
          <w:szCs w:val="24"/>
        </w:rPr>
        <w:t xml:space="preserve">Article 9. Confidentialité</w:t>
      </w:r>
    </w:p>
    <w:p>
      <w:pPr>
        <w:spacing w:after="120" w:line="276"/>
        <w:jc w:val="both"/>
      </w:pPr>
      <w:r>
        <w:t xml:space="preserve">Chaque Partie s'engage à conserver strictement confidentielles les informations de toute nature, techniques, commerciales ou financières, dont elle a connaissance à l'occasion de l'exécution du présent contrat, et à ne les utiliser que pour les besoins de celui-ci.</w:t>
      </w:r>
    </w:p>
    <w:p>
      <w:pPr>
        <w:spacing w:after="120" w:line="276"/>
        <w:jc w:val="both"/>
      </w:pPr>
      <w:r>
        <w:t xml:space="preserve">Sont notamment couvertes par cette obligation les Clés d'accès, la Documentation technique non publique, les Données du Client, ainsi que les conditions financières du contrat.</w:t>
      </w:r>
    </w:p>
    <w:p>
      <w:pPr>
        <w:spacing w:after="120" w:line="276"/>
        <w:jc w:val="both"/>
      </w:pPr>
      <w:r>
        <w:t xml:space="preserve">L'obligation de confidentialité ne s'applique pas aux informations qui sont ou deviennent publiques sans manquement de la Partie réceptrice, qui étaient légitimement connues de celle-ci avant leur communication, ou dont la divulgation est requise par la loi, une décision de justice ou une autorité compétente.</w:t>
      </w:r>
    </w:p>
    <w:p>
      <w:pPr>
        <w:spacing w:after="120" w:line="276"/>
        <w:jc w:val="both"/>
      </w:pPr>
      <w:r>
        <w:t xml:space="preserve">L'obligation de confidentialité demeure en vigueur pendant toute la durée du contrat et pendant une durée de [X] ans à compter de son terme, quelle qu'en soit la cause.</w:t>
      </w:r>
    </w:p>
    <w:p>
      <w:pPr>
        <w:spacing w:after="120" w:line="276"/>
        <w:jc w:val="both"/>
      </w:pPr>
      <w:r>
        <w:t xml:space="preserve">L'obligation de confidentialité prévue au présent article est distincte et autonome des obligations de sécurité technique prévues à l'article 8.</w:t>
      </w:r>
    </w:p>
    <w:p>
      <w:pPr>
        <w:pStyle w:val="Heading1"/>
        <w:spacing w:after="120" w:before="280"/>
      </w:pPr>
      <w:r>
        <w:rPr>
          <w:b/>
          <w:bCs/>
          <w:color w:val="0D1B2E"/>
          <w:sz w:val="24"/>
          <w:szCs w:val="24"/>
        </w:rPr>
        <w:t xml:space="preserve">Article 10. Responsabilité</w:t>
      </w:r>
    </w:p>
    <w:p>
      <w:pPr>
        <w:spacing w:after="120" w:line="276"/>
        <w:jc w:val="both"/>
      </w:pPr>
      <w:r>
        <w:t xml:space="preserve">Chaque Partie est responsable, à l'égard de l'autre, des dommages directs et certains qu'elle lui cause dans l'exécution du présent contrat, dans les conditions du droit commun.</w:t>
      </w:r>
    </w:p>
    <w:p>
      <w:pPr>
        <w:spacing w:after="120" w:line="276"/>
        <w:jc w:val="both"/>
      </w:pPr>
      <w:r>
        <w:t xml:space="preserve">La responsabilité du Fournisseur, toutes causes confondues, est limitée au montant total des sommes hors taxes effectivement versées par le Client au titre du contrat au cours des [X] mois précédant le fait générateur du dommage.</w:t>
      </w:r>
    </w:p>
    <w:p>
      <w:pPr>
        <w:spacing w:after="120" w:line="276"/>
        <w:jc w:val="both"/>
      </w:pPr>
      <w:r>
        <w:t xml:space="preserve">Le Fournisseur ne répond pas des dommages indirects, tels que la perte de chiffre d'affaires, de bénéfice, de clientèle, de données résultant d'un fait imputable au Client, d'image ou de tout préjudice commercial subi par le Client du fait de l'exécution ou de l'inexécution du contrat.</w:t>
      </w:r>
    </w:p>
    <w:p>
      <w:pPr>
        <w:spacing w:after="120" w:line="276"/>
        <w:jc w:val="both"/>
      </w:pPr>
      <w:r>
        <w:t xml:space="preserve">Les limitations et exclusions de responsabilité prévues au présent article ne s'appliquent pas en cas de faute lourde ou dolosive, de dommage corporel, de manquement à l'obligation de confidentialité ou aux obligations relatives aux données à caractère personnel, ni dans la mesure où elles priveraient de sa substance l'obligation essentielle du Fournisseur au sens de l'article 1170 du Code civil.</w:t>
      </w:r>
    </w:p>
    <w:p>
      <w:pPr>
        <w:spacing w:after="120" w:line="276"/>
        <w:jc w:val="both"/>
      </w:pPr>
      <w:r>
        <w:t xml:space="preserve">Le Client est responsable de l'usage qu'il fait de l'API, de la licéité des données qu'il y transmet et de la conformité de son intégration. Il garantit le Fournisseur contre tout recours de tiers résultant d'un usage de l'API non conforme au présent contrat.</w:t>
      </w:r>
    </w:p>
    <w:p>
      <w:pPr>
        <w:pStyle w:val="Heading1"/>
        <w:spacing w:after="120" w:before="280"/>
      </w:pPr>
      <w:r>
        <w:rPr>
          <w:b/>
          <w:bCs/>
          <w:color w:val="0D1B2E"/>
          <w:sz w:val="24"/>
          <w:szCs w:val="24"/>
        </w:rPr>
        <w:t xml:space="preserve">Article 11. Durée, résiliation et réversibilité</w:t>
      </w:r>
    </w:p>
    <w:p>
      <w:pPr>
        <w:spacing w:after="120" w:line="276"/>
        <w:jc w:val="both"/>
      </w:pPr>
      <w:r>
        <w:t xml:space="preserve">Le présent contrat prend effet à compter du [date] pour une durée [déterminée de [X] mois / indéterminée].</w:t>
      </w:r>
    </w:p>
    <w:p>
      <w:pPr>
        <w:spacing w:after="120" w:line="276"/>
        <w:jc w:val="both"/>
      </w:pPr>
      <w:r>
        <w:t xml:space="preserve">Lorsqu'il est conclu pour une durée déterminée, le contrat se reconduit tacitement par périodes successives de [durée], sauf dénonciation par l'une des Parties notifiée à l'autre moyennant un préavis de [X] jours avant l'échéance. Lorsqu'il est conclu pour une durée indéterminée, chaque Partie peut y mettre fin à tout moment moyennant un préavis de [X] jours.</w:t>
      </w:r>
    </w:p>
    <w:p>
      <w:pPr>
        <w:spacing w:after="120" w:line="276"/>
        <w:jc w:val="both"/>
      </w:pPr>
      <w:r>
        <w:t xml:space="preserve">En cas de manquement grave de l'une des Parties à l'une de ses obligations, non réparé dans un délai de [X] jours à compter d'une mise en demeure restée infructueuse adressée par lettre recommandée avec accusé de réception, l'autre Partie peut résilier le contrat de plein droit, sans préjudice de tous dommages et intérêts.</w:t>
      </w:r>
    </w:p>
    <w:p>
      <w:pPr>
        <w:spacing w:after="120" w:line="276"/>
        <w:jc w:val="both"/>
      </w:pPr>
      <w:r>
        <w:t xml:space="preserve">À l'expiration du contrat, quelle qu'en soit la cause, le Fournisseur restitue au Client, sur sa demande, l'ensemble des Données du Client dans un format structuré, couramment utilisé et lisible par machine, dans un délai de [X] jours.</w:t>
      </w:r>
    </w:p>
    <w:p>
      <w:pPr>
        <w:spacing w:after="120" w:line="276"/>
        <w:jc w:val="both"/>
      </w:pPr>
      <w:r>
        <w:t xml:space="preserve">Afin d'assurer la continuité du service du Client, le Fournisseur maintient l'accès à l'API pendant une période de transition et de réversibilité de [X] jours à compter de la notification de la fin du contrat, aux conditions financières en vigueur, pendant laquelle il apporte au Client l'assistance raisonnable nécessaire à la migration de son intégration.</w:t>
      </w:r>
    </w:p>
    <w:p>
      <w:pPr>
        <w:spacing w:after="120" w:line="276"/>
        <w:jc w:val="both"/>
      </w:pPr>
      <w:r>
        <w:t xml:space="preserve">À l'issue de la période de réversibilité, et sous réserve de la restitution effective des Données du Client, le Fournisseur procède à la suppression définitive des Données du Client de ses systèmes, à l'exception des données dont la conservation est imposée par la loi, et en atteste par écrit à la demande du Client.</w:t>
      </w:r>
    </w:p>
    <w:p>
      <w:pPr>
        <w:spacing w:after="120" w:line="276"/>
        <w:jc w:val="both"/>
      </w:pPr>
      <w:r>
        <w:t xml:space="preserve">Les clauses qui, par leur nature, ont vocation à survivre au contrat, notamment celles relatives à la confidentialité, à la propriété intellectuelle, à la responsabilité et au règlement des litiges, demeurent en vigueur après son terme.</w:t>
      </w:r>
    </w:p>
    <w:p>
      <w:pPr>
        <w:pStyle w:val="Heading1"/>
        <w:spacing w:after="120" w:before="280"/>
      </w:pPr>
      <w:r>
        <w:rPr>
          <w:b/>
          <w:bCs/>
          <w:color w:val="0D1B2E"/>
          <w:sz w:val="24"/>
          <w:szCs w:val="24"/>
        </w:rPr>
        <w:t xml:space="preserve">Article 12. Force majeure, droit applicable et règlement des litiges</w:t>
      </w:r>
    </w:p>
    <w:p>
      <w:pPr>
        <w:spacing w:after="120" w:line="276"/>
        <w:jc w:val="both"/>
      </w:pPr>
      <w:r>
        <w:t xml:space="preserve">Aucune des Parties ne pourra être tenue responsable d'un manquement à ses obligations résultant d'un cas de force majeure au sens de l'article 1218 du Code civil et de la jurisprudence des juridictions françaises. La Partie affectée en informe l'autre dans les meilleurs délais.</w:t>
      </w:r>
    </w:p>
    <w:p>
      <w:pPr>
        <w:spacing w:after="120" w:line="276"/>
        <w:jc w:val="both"/>
      </w:pPr>
      <w:r>
        <w:t xml:space="preserve">Si le cas de force majeure se prolonge au-delà de [X] jours, chaque Partie pourra résilier le contrat de plein droit, sans indemnité, par notification écrite adressée à l'autre Partie.</w:t>
      </w:r>
    </w:p>
    <w:p>
      <w:pPr>
        <w:spacing w:after="120" w:line="276"/>
        <w:jc w:val="both"/>
      </w:pPr>
      <w:r>
        <w:t xml:space="preserve">Le présent contrat est régi par le droit français. Il est rédigé en langue française, seule langue faisant foi entre les Parties.</w:t>
      </w:r>
    </w:p>
    <w:p>
      <w:pPr>
        <w:spacing w:after="120" w:line="276"/>
        <w:jc w:val="both"/>
      </w:pPr>
      <w:r>
        <w:t xml:space="preserve">En cas de différend relatif à la validité, l'interprétation ou l'exécution du présent contrat, les Parties s'efforceront de parvenir à une solution amiable dans un délai de [X] jours à compter de la notification du différend par l'une des Parties à l'autre.</w:t>
      </w:r>
    </w:p>
    <w:p>
      <w:pPr>
        <w:spacing w:after="120" w:line="276"/>
        <w:jc w:val="both"/>
      </w:pPr>
      <w:r>
        <w:t xml:space="preserve">À défaut d'accord amiable dans ce délai, tout litige sera soumis à la compétence exclusive du Tribunal de commerce de [ville], nonobstant pluralité de défendeurs ou 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Fournisseur : [Nom, prénom, qualité et signature précédée de la mention « Lu et approuvé »]</w:t>
      </w:r>
    </w:p>
    <w:p>
      <w:pPr>
        <w:spacing w:after="120" w:line="276"/>
        <w:jc w:val="both"/>
      </w:pPr>
      <w:r>
        <w:t xml:space="preserve">Le Client : [Nom, prénom, qualité et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D'ACCÈS À UNE INTERFACE DE PROGRAMMATION (API)</dc:title>
  <dc:creator>Pactolane</dc:creator>
  <dc:description>Modele de contrat Pactolane, a adapter.</dc:description>
  <cp:lastModifiedBy>Un-named</cp:lastModifiedBy>
  <cp:revision>1</cp:revision>
  <dcterms:created xsi:type="dcterms:W3CDTF">2026-07-19T22:13:58.275Z</dcterms:created>
  <dcterms:modified xsi:type="dcterms:W3CDTF">2026-07-19T22:13:58.275Z</dcterms:modified>
</cp:coreProperties>
</file>

<file path=docProps/custom.xml><?xml version="1.0" encoding="utf-8"?>
<Properties xmlns="http://schemas.openxmlformats.org/officeDocument/2006/custom-properties" xmlns:vt="http://schemas.openxmlformats.org/officeDocument/2006/docPropsVTypes"/>
</file>