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before="0" w:after="120"/>
      </w:pPr>
      <w:r>
        <w:rPr>
          <w:rFonts w:ascii="Arial" w:cs="Arial" w:eastAsia="Arial" w:hAnsi="Arial"/>
          <w:b/>
          <w:bCs/>
          <w:color w:val="1F3A68"/>
          <w:sz w:val="36"/>
          <w:szCs w:val="36"/>
        </w:rPr>
        <w:t xml:space="preserve">Modèle de playbook juridique : accord de confidentialité</w:t>
      </w:r>
    </w:p>
    <w:p>
      <w:pPr>
        <w:spacing w:before="0" w:after="240" w:line="276"/>
      </w:pPr>
      <w:r>
        <w:rPr>
          <w:rFonts w:ascii="Arial" w:cs="Arial" w:eastAsia="Arial" w:hAnsi="Arial"/>
          <w:color w:val="4A5568"/>
          <w:sz w:val="21"/>
          <w:szCs w:val="21"/>
        </w:rPr>
        <w:t xml:space="preserve">Quatre positions par clause, de la rédaction préférée à la ligne rouge, pour négocier un accord de confidentialité ou analyser celui que l'on vous soumet.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A68" w:sz="6"/>
              <w:left w:val="single" w:color="1F3A68" w:sz="24"/>
              <w:bottom w:val="single" w:color="1F3A68" w:sz="6"/>
              <w:right w:val="single" w:color="1F3A68" w:sz="6"/>
            </w:tcBorders>
            <w:shd w:fill="EEF2F8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before="0" w:after="100" w:line="276"/>
            </w:pPr>
            <w:r>
              <w:rPr>
                <w:rFonts w:ascii="Arial" w:cs="Arial" w:eastAsia="Arial" w:hAnsi="Arial"/>
                <w:b/>
                <w:bCs/>
                <w:color w:val="1F3A68"/>
                <w:sz w:val="21"/>
                <w:szCs w:val="21"/>
              </w:rPr>
              <w:t xml:space="preserve">Avant d'utiliser ce modèle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8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 playbook est un modèle à adapter à votre entreprise, à votre secteur et à votre point de vue dans la négociation.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8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Les durées et montants indiqués sont des exemples de politique d'entreprise, pas des règles légales : calibrez-les sur la valeur des informations que vous échangez.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8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 document est une information générale et ne constitue pas un conseil juridique. Faites-le relire par votre juriste ou votre avocat avant de l'utiliser en négociation.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8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Il s'agit d'un document interne : ne le transmettez pas à l'autre partie, il révèle vos positions de repli.</w:t>
            </w:r>
          </w:p>
        </w:tc>
      </w:tr>
    </w:tbl>
    <w:p>
      <w:pPr>
        <w:pStyle w:val="Heading2"/>
        <w:keepNext/>
        <w:spacing w:before="220" w:after="100"/>
      </w:pPr>
      <w:r>
        <w:rPr>
          <w:rFonts w:ascii="Arial" w:cs="Arial" w:eastAsia="Arial" w:hAnsi="Arial"/>
          <w:b/>
          <w:bCs/>
          <w:color w:val="1F3A68"/>
          <w:sz w:val="26"/>
          <w:szCs w:val="26"/>
        </w:rPr>
        <w:t xml:space="preserve">Métadonnées du playbook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c>
          <w:tcPr>
            <w:tcW w:type="dxa" w:w="27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Nom du playbook</w:t>
            </w:r>
          </w:p>
        </w:tc>
        <w:tc>
          <w:tcPr>
            <w:tcW w:type="dxa" w:w="69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Accord de confidentialité (NDA) : politique de négociation</w:t>
            </w:r>
          </w:p>
        </w:tc>
      </w:tr>
      <w:tr>
        <w:tc>
          <w:tcPr>
            <w:tcW w:type="dxa" w:w="27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Type de contrat</w:t>
            </w:r>
          </w:p>
        </w:tc>
        <w:tc>
          <w:tcPr>
            <w:tcW w:type="dxa" w:w="69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Accord de confidentialité réciproque (NDA mutuel)</w:t>
            </w:r>
          </w:p>
        </w:tc>
      </w:tr>
      <w:tr>
        <w:tc>
          <w:tcPr>
            <w:tcW w:type="dxa" w:w="27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Juridiction</w:t>
            </w:r>
          </w:p>
        </w:tc>
        <w:tc>
          <w:tcPr>
            <w:tcW w:type="dxa" w:w="69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France (droit français)</w:t>
            </w:r>
          </w:p>
        </w:tc>
      </w:tr>
      <w:tr>
        <w:tc>
          <w:tcPr>
            <w:tcW w:type="dxa" w:w="27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Point de vue</w:t>
            </w:r>
          </w:p>
        </w:tc>
        <w:tc>
          <w:tcPr>
            <w:tcW w:type="dxa" w:w="69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Client : partie qui communique l'essentiel des informations</w:t>
            </w:r>
          </w:p>
        </w:tc>
      </w:tr>
      <w:tr>
        <w:tc>
          <w:tcPr>
            <w:tcW w:type="dxa" w:w="27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Langue</w:t>
            </w:r>
          </w:p>
        </w:tc>
        <w:tc>
          <w:tcPr>
            <w:tcW w:type="dxa" w:w="69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Français</w:t>
            </w:r>
          </w:p>
        </w:tc>
      </w:tr>
      <w:tr>
        <w:tc>
          <w:tcPr>
            <w:tcW w:type="dxa" w:w="27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Version et date</w:t>
            </w:r>
          </w:p>
        </w:tc>
        <w:tc>
          <w:tcPr>
            <w:tcW w:type="dxa" w:w="69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Version 1, à dater lors de son adoption : ......../......../............</w:t>
            </w:r>
          </w:p>
        </w:tc>
      </w:tr>
      <w:tr>
        <w:tc>
          <w:tcPr>
            <w:tcW w:type="dxa" w:w="27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Validé par</w:t>
            </w:r>
          </w:p>
        </w:tc>
        <w:tc>
          <w:tcPr>
            <w:tcW w:type="dxa" w:w="69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 et fonction du juriste ou du dirigeant : ......................................</w:t>
            </w:r>
          </w:p>
        </w:tc>
      </w:tr>
    </w:tbl>
    <w:p>
      <w:pPr>
        <w:pStyle w:val="Heading2"/>
        <w:keepNext/>
        <w:spacing w:before="220" w:after="100"/>
      </w:pPr>
      <w:r>
        <w:rPr>
          <w:rFonts w:ascii="Arial" w:cs="Arial" w:eastAsia="Arial" w:hAnsi="Arial"/>
          <w:b/>
          <w:bCs/>
          <w:color w:val="1F3A68"/>
          <w:sz w:val="26"/>
          <w:szCs w:val="26"/>
        </w:rPr>
        <w:t xml:space="preserve">Comment lire ce playbook</w:t>
      </w:r>
    </w:p>
    <w:p>
      <w:pPr>
        <w:spacing w:before="0" w:after="120" w:line="276"/>
      </w:pPr>
      <w:r>
        <w:rPr>
          <w:rFonts w:ascii="Arial" w:cs="Arial" w:eastAsia="Arial" w:hAnsi="Arial"/>
          <w:sz w:val="19"/>
          <w:szCs w:val="19"/>
        </w:rPr>
        <w:t xml:space="preserve">Le tableau des pages suivantes compte une ligne par clause et sept colonnes : clause, importance, obligatoire, puis les quatre positions préférée, acceptable, repli et ligne rouge.</w:t>
      </w:r>
    </w:p>
    <w:p>
      <w:pPr>
        <w:pStyle w:val="ListParagraph"/>
        <w:numPr>
          <w:ilvl w:val="0"/>
          <w:numId w:val="2"/>
        </w:numPr>
        <w:spacing w:before="0" w:after="8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Importance : </w:t>
      </w:r>
      <w:r>
        <w:rPr>
          <w:rFonts w:ascii="Arial" w:cs="Arial" w:eastAsia="Arial" w:hAnsi="Arial"/>
          <w:sz w:val="19"/>
          <w:szCs w:val="19"/>
        </w:rPr>
        <w:t xml:space="preserve">Faible, Normal, Élevé ou Critique. Plus elle est élevée, plus la position de la clause pèse dans l'appréciation du contrat.</w:t>
      </w:r>
    </w:p>
    <w:p>
      <w:pPr>
        <w:pStyle w:val="ListParagraph"/>
        <w:numPr>
          <w:ilvl w:val="0"/>
          <w:numId w:val="2"/>
        </w:numPr>
        <w:spacing w:before="0" w:after="8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Obligatoire : </w:t>
      </w:r>
      <w:r>
        <w:rPr>
          <w:rFonts w:ascii="Arial" w:cs="Arial" w:eastAsia="Arial" w:hAnsi="Arial"/>
          <w:sz w:val="19"/>
          <w:szCs w:val="19"/>
        </w:rPr>
        <w:t xml:space="preserve">Oui si la clause doit figurer dans tout accord que vous signez ; son absence est alors un écart en soi.</w:t>
      </w:r>
    </w:p>
    <w:p>
      <w:pPr>
        <w:pStyle w:val="ListParagraph"/>
        <w:numPr>
          <w:ilvl w:val="0"/>
          <w:numId w:val="2"/>
        </w:numPr>
        <w:spacing w:before="0" w:after="8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Dans Pactolane : </w:t>
      </w:r>
      <w:r>
        <w:rPr>
          <w:rFonts w:ascii="Arial" w:cs="Arial" w:eastAsia="Arial" w:hAnsi="Arial"/>
          <w:sz w:val="19"/>
          <w:szCs w:val="19"/>
        </w:rPr>
        <w:t xml:space="preserve">quand vous partez d'un contrat, Pactolane propose l'importance et le caractère obligatoire de chaque clause ; vous les ajustez à la relecture ou dans l'éditeur.</w:t>
      </w:r>
    </w:p>
    <w:p>
      <w:pPr>
        <w:pStyle w:val="ListParagraph"/>
        <w:numPr>
          <w:ilvl w:val="0"/>
          <w:numId w:val="2"/>
        </w:numPr>
        <w:spacing w:before="0" w:after="80" w:line="264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Positions : </w:t>
      </w:r>
      <w:r>
        <w:rPr>
          <w:rFonts w:ascii="Arial" w:cs="Arial" w:eastAsia="Arial" w:hAnsi="Arial"/>
          <w:sz w:val="19"/>
          <w:szCs w:val="19"/>
        </w:rPr>
        <w:t xml:space="preserve">chacune porte dans Pactolane un score par défaut, modifiable, de 100 (préférée) à 0 (ligne rouge), qui sert à noter sur 100 le contrat analysé.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500"/>
        <w:gridCol w:w="3738"/>
        <w:gridCol w:w="2500"/>
      </w:tblGrid>
      <w:tr>
        <w:trPr>
          <w:tblHeader/>
        </w:trPr>
        <w:tc>
          <w:tcPr>
            <w:tcW w:type="dxa" w:w="19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1F3A6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Position</w:t>
            </w:r>
          </w:p>
        </w:tc>
        <w:tc>
          <w:tcPr>
            <w:tcW w:type="dxa" w:w="1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1F3A6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Score par défaut</w:t>
            </w:r>
          </w:p>
        </w:tc>
        <w:tc>
          <w:tcPr>
            <w:tcW w:type="dxa" w:w="3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1F3A6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Ce qu'elle signifie</w:t>
            </w:r>
          </w:p>
        </w:tc>
        <w:tc>
          <w:tcPr>
            <w:tcW w:type="dxa" w:w="2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1F3A6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Qui tranche</w:t>
            </w:r>
          </w:p>
        </w:tc>
      </w:tr>
      <w:tr>
        <w:tc>
          <w:tcPr>
            <w:tcW w:type="dxa" w:w="19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DCEFE0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Préférée</w:t>
            </w:r>
          </w:p>
        </w:tc>
        <w:tc>
          <w:tcPr>
            <w:tcW w:type="dxa" w:w="1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100</w:t>
            </w:r>
          </w:p>
        </w:tc>
        <w:tc>
          <w:tcPr>
            <w:tcW w:type="dxa" w:w="3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Votre rédaction cible, proposée en premier</w:t>
            </w:r>
          </w:p>
        </w:tc>
        <w:tc>
          <w:tcPr>
            <w:tcW w:type="dxa" w:w="2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Le négociateur</w:t>
            </w:r>
          </w:p>
        </w:tc>
      </w:tr>
      <w:tr>
        <w:tc>
          <w:tcPr>
            <w:tcW w:type="dxa" w:w="19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AF4D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Acceptable</w:t>
            </w:r>
          </w:p>
        </w:tc>
        <w:tc>
          <w:tcPr>
            <w:tcW w:type="dxa" w:w="1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75</w:t>
            </w:r>
          </w:p>
        </w:tc>
        <w:tc>
          <w:tcPr>
            <w:tcW w:type="dxa" w:w="3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Une concession accordée avec une simple relecture</w:t>
            </w:r>
          </w:p>
        </w:tc>
        <w:tc>
          <w:tcPr>
            <w:tcW w:type="dxa" w:w="2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Le négociateur, après relecture</w:t>
            </w:r>
          </w:p>
        </w:tc>
      </w:tr>
      <w:tr>
        <w:tc>
          <w:tcPr>
            <w:tcW w:type="dxa" w:w="19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FCEBC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Repli</w:t>
            </w:r>
          </w:p>
        </w:tc>
        <w:tc>
          <w:tcPr>
            <w:tcW w:type="dxa" w:w="1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35</w:t>
            </w:r>
          </w:p>
        </w:tc>
        <w:tc>
          <w:tcPr>
            <w:tcW w:type="dxa" w:w="3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La dernière concession possible, qui demande une escalade</w:t>
            </w:r>
          </w:p>
        </w:tc>
        <w:tc>
          <w:tcPr>
            <w:tcW w:type="dxa" w:w="2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Un juriste</w:t>
            </w:r>
          </w:p>
        </w:tc>
      </w:tr>
      <w:tr>
        <w:tc>
          <w:tcPr>
            <w:tcW w:type="dxa" w:w="19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F7D4D4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Ligne rouge</w:t>
            </w:r>
          </w:p>
        </w:tc>
        <w:tc>
          <w:tcPr>
            <w:tcW w:type="dxa" w:w="1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</w:t>
            </w:r>
          </w:p>
        </w:tc>
        <w:tc>
          <w:tcPr>
            <w:tcW w:type="dxa" w:w="3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Le point au-delà duquel vous ne signez pas</w:t>
            </w:r>
          </w:p>
        </w:tc>
        <w:tc>
          <w:tcPr>
            <w:tcW w:type="dxa" w:w="250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Refus : pas de signature en l'état</w:t>
            </w:r>
          </w:p>
        </w:tc>
      </w:tr>
    </w:tbl>
    <w:p>
      <w:pPr>
        <w:sectPr>
          <w:footerReference w:type="default" r:id="rId6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  <w:keepNext/>
        <w:spacing w:before="0" w:after="80"/>
      </w:pPr>
      <w:r>
        <w:rPr>
          <w:rFonts w:ascii="Arial" w:cs="Arial" w:eastAsia="Arial" w:hAnsi="Arial"/>
          <w:b/>
          <w:bCs/>
          <w:color w:val="1F3A68"/>
          <w:sz w:val="28"/>
          <w:szCs w:val="28"/>
        </w:rPr>
        <w:t xml:space="preserve">Le playbook : dix clauses, quatre positions</w:t>
      </w:r>
    </w:p>
    <w:p>
      <w:pPr>
        <w:spacing w:before="0" w:after="160" w:line="276"/>
      </w:pPr>
      <w:r>
        <w:rPr>
          <w:rFonts w:ascii="Arial" w:cs="Arial" w:eastAsia="Arial" w:hAnsi="Arial"/>
          <w:color w:val="4A5568"/>
          <w:sz w:val="18"/>
          <w:szCs w:val="18"/>
        </w:rPr>
        <w:t xml:space="preserve">Point de vue : client, partie qui communique l'essentiel des informations, dans un accord réciproque soumis au droit français. Les valeurs chiffrées sont des exemples à adapter.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0"/>
        <w:gridCol w:w="1250"/>
        <w:gridCol w:w="1150"/>
        <w:gridCol w:w="2650"/>
        <w:gridCol w:w="2650"/>
        <w:gridCol w:w="2650"/>
        <w:gridCol w:w="2738"/>
      </w:tblGrid>
      <w:tr>
        <w:trPr>
          <w:cantSplit/>
          <w:tblHeader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1F3A6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Clause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1F3A6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Importance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1F3A6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Obligatoire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2F7D4F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Préférée (100)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5E9A3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Acceptable (75)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B7791F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Repli (35)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B8323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Ligne rouge (0)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1. Confidentialité : périmètre et obligations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Critique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Oui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Toute information communiquée, sur tout support, marquée ou non, y compris oralement ; interdiction de la divulguer et de l'utiliser hors de l'objet de l'accord.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Informations marquées ou de nature manifestement confidentielle pour un professionnel diligent ; mêmes interdictions.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Informations marquées, et informations orales identifiées comme confidentielles lors de leur communication ou confirmées par écrit dans un délai fixé (exemple : 30 jours) ; mêmes interdictions.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Seule la divulgation est interdite, l'utilisation reste libre ; ou seuls les documents marqués sont couverts, sans rattrapage des échanges oraux.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2. Durée de confidentialité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Élevé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Oui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Durée déterminée d'au moins 5 ans après la fin des discussions ou de l'accord, avec idéalement une durée plus longue pour les secrets techniques désignés en annexe (exemple : 10 ans).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 3 ans à moins de 5 ans après la fin des discussions ou de l'accord, ou durée illimitée.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 2 ans à moins de 3 ans après la fin des discussions ou de l'accord.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Obligation limitée à la durée des discussions, sans effet après leur fin, ou durée inférieure à 2 ans.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3. Survie des obligations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Normal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Survie expresse de la confidentialité, de la restitution, de la clause pénale et des clauses de litige, quelle que soit la cause de fin.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Survie expresse de la confidentialité, avec ou sans la restitution, sans couvrir toutes les clauses ou toutes les causes de fin de la position préférée.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Pas de survie expresse de la confidentialité, mais une durée de confidentialité expressément postérieure à la fin de l'accord.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Ni survie expresse de la confidentialité, ni durée de confidentialité postérieure à la fin de l'accord : les obligations prennent fin avec lui, y compris en cas de résiliation anticipée.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4. Restitution et destruction des informations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Élevé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Oui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Restitution ou destruction sur demande et en fin de discussions, dans un délai fixé (exemple : 15 jours), avec attestation écrite.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Même obligation, mais dans un délai fixé plus long (exemple : 30 jours), sur un seul des deux événements (demande ou fin des discussions), ou avec une attestation fournie seulement sur demande.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Restitution ou destruction sans délai fixé ou sans attestation, ou copie conservée pour les obligations légales et les sauvegardes informatiques, toujours couverte par la confidentialité.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Aucune obligation de restituer ni de détruire, ou conservation de copies à d'autres fins que les obligations légales et les sauvegardes informatiques, ou hors de la confidentialité.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5. Propriété intellectuelle antérieure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Élevé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Oui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Chaque partie conserve ses droits ; ni licence ni cession ; interdiction de déposer un titre de propriété industrielle à partir des informations reçues.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Ni licence ni cession, sans stipulation sur les dépôts.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Licence d'usage non exclusive, limitée à l'évaluation du projet et à la durée des discussions.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Cession, licence exclusive, licence au-delà de l'objet de l'accord ou de la durée des discussions, ou droits de l'autre partie sur les améliorations issues de vos informations.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6. Clause pénale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Normal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Pénalité forfaitaire par manquement, réciproque ou à la seule charge de l'autre partie, d'un montant dissuasif fixé par votre politique (exemple : 50 000 €).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Même pénalité d'un montant plus modéré, au moins égal à un plancher fixé par votre politique (exemple : 20 000 €).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Pas de clause pénale : réparation selon le droit commun, sur preuve du préjudice ; ou pénalité inférieure à ce plancher.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Clause pénale à sens unique, applicable à votre seule entreprise.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7. Limitation de responsabilité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Élevé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Aucun plafond pour la violation de la confidentialité.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Plafond propre à la confidentialité (exemple : 500 000 €), supérieur à tout plafond général et au moins égal au seuil retenu en repli.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Plafond global commun à toutes les obligations de l'accord, ou plafond propre à la confidentialité qui ne dépasse pas le plafond général, au moins égal au seuil fixé par votre politique (exemple : 100 000 €).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Exclusion de responsabilité en cas de divulgation, ou plafond inférieur à ce seuil.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8. Non-sollicitation du personnel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Faible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Engagement de ne pas solliciter les salariés impliqués dans le projet, réciproque ou à la seule charge de l'autre partie, pendant les discussions et 12 mois après.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Même engagement, sur une période plus courte (exemple : 6 mois).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Engagement réciproque de plus de 12 mois, ou interdiction réciproque d'embaucher, dans la limite de 24 mois ; ou pas de clause dans l'accord de confidentialité, le sujet étant renvoyé au contrat principal.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Clause à sens unique contre votre entreprise, engagement de plus de 24 mois, ou interdiction d'embaucher sans limite de durée.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9. Droit applicable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Normal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Oui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Droit français.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Droit d'un autre État membre de l'Union européenne, lorsque l'autre partie y est établie.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Droit d'un autre État, membre ou non de l'Union européenne, hors du cas acceptable, après avis de votre conseil.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Aucun droit applicable désigné alors qu'une partie est établie hors de France.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10. Attribution de compétence</w:t>
            </w:r>
          </w:p>
        </w:tc>
        <w:tc>
          <w:tcPr>
            <w:tcW w:type="dxa" w:w="12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Normal</w:t>
            </w:r>
          </w:p>
        </w:tc>
        <w:tc>
          <w:tcPr>
            <w:tcW w:type="dxa" w:w="11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Compétence exclusive des tribunaux du ressort de votre siège social.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Juridiction neutre en France, ni chez vous ni chez l'autre partie, ou compétence non exclusive des tribunaux de votre siège.</w:t>
            </w:r>
          </w:p>
        </w:tc>
        <w:tc>
          <w:tcPr>
            <w:tcW w:type="dxa" w:w="2650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Compétence des tribunaux du ressort du siège de l'autre partie, en France, ou arbitrage dont le coût reste proportionné aux enjeux, après avis de votre conseil.</w:t>
            </w:r>
          </w:p>
        </w:tc>
        <w:tc>
          <w:tcPr>
            <w:tcW w:type="dxa" w:w="27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before="0"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Juridiction étrangère, ou arbitrage dont le coût est hors de proportion avec les enjeux.</w:t>
            </w:r>
          </w:p>
        </w:tc>
      </w:tr>
    </w:tbl>
    <w:p>
      <w:pPr>
        <w:spacing w:after="120"/>
      </w:pP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138"/>
      </w:tblGrid>
      <w:tr>
        <w:trPr>
          <w:cantSplit/>
        </w:trPr>
        <w:tc>
          <w:tcPr>
            <w:tcW w:type="dxa" w:w="15138"/>
            <w:tcBorders>
              <w:top w:val="single" w:color="B8C2D1" w:sz="4"/>
              <w:left w:val="single" w:color="B8C2D1" w:sz="4"/>
              <w:bottom w:val="single" w:color="B8C2D1" w:sz="4"/>
              <w:right w:val="single" w:color="B8C2D1" w:sz="4"/>
            </w:tcBorders>
            <w:shd w:fill="EEF2F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before="0" w:after="60" w:line="264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Plus besoin de partir d'une page blanche.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Créez votre playbook à partir de votre propre contrat type sur </w:t>
            </w:r>
            <w:hyperlink w:history="1" r:id="rIdqn9ih6beywlrxzrl1i2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pactolane.com/produit-playbooks/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: la rédaction de chaque clause devient votre position préférée, Pactolane propose les positions acceptable, repli et ligne rouge, et chaque clause gardée est relue et marquée « Relue » avant la création du playbook.</w:t>
            </w:r>
          </w:p>
        </w:tc>
      </w:tr>
    </w:tbl>
    <w:sectPr>
      <w:footerReference w:type="default" r:id="rId7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Modèle de playbook juridique | Pactolane | Information générale, ne constitue pas un conseil juridique | Page </w:t>
    </w:r>
    <w:r>
      <w:rPr>
        <w:rFonts w:ascii="Arial" w:cs="Arial" w:eastAsia="Arial" w:hAnsi="Arial"/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Modèle de playbook juridique | Pactolane | Information générale, ne constitue pas un conseil juridique | Page </w:t>
    </w:r>
    <w:r>
      <w:rPr>
        <w:rFonts w:ascii="Arial" w:cs="Arial" w:eastAsia="Arial" w:hAnsi="Arial"/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Arial" w:cs="Arial" w:eastAsia="Arial" w:hAnsi="Arial"/>
      <w:b/>
      <w:bCs/>
      <w:color w:val="1F3A68"/>
      <w:sz w:val="36"/>
      <w:szCs w:val="36"/>
    </w:rPr>
  </w:style>
  <w:style w:type="paragraph" w:styleId="Heading1">
    <w:name w:val="Heading 1"/>
    <w:basedOn w:val="Normal"/>
    <w:next w:val="Normal"/>
    <w:qFormat/>
    <w:pPr>
      <w:spacing w:before="0" w:after="80"/>
      <w:outlineLvl w:val="0"/>
    </w:pPr>
    <w:rPr>
      <w:rFonts w:ascii="Arial" w:cs="Arial" w:eastAsia="Arial" w:hAnsi="Arial"/>
      <w:b/>
      <w:bCs/>
      <w:color w:val="1F3A68"/>
      <w:sz w:val="28"/>
      <w:szCs w:val="28"/>
    </w:rPr>
  </w:style>
  <w:style w:type="paragraph" w:styleId="Footer">
    <w:name w:val="footer"/>
    <w:basedOn w:val="Normal"/>
    <w:rPr>
      <w:rFonts w:ascii="Arial" w:cs="Arial" w:eastAsia="Arial" w:hAnsi="Arial"/>
      <w:color w:val="6B7280"/>
      <w:sz w:val="15"/>
      <w:szCs w:val="15"/>
    </w:rPr>
  </w:style>
  <w:style w:type="paragraph" w:styleId="Heading2">
    <w:name w:val="Heading 2"/>
    <w:basedOn w:val="Normal"/>
    <w:next w:val="Normal"/>
    <w:qFormat/>
    <w:pPr>
      <w:spacing w:before="280" w:after="120"/>
      <w:outlineLvl w:val="1"/>
    </w:pPr>
    <w:rPr>
      <w:rFonts w:ascii="Arial" w:cs="Arial" w:eastAsia="Arial" w:hAnsi="Arial"/>
      <w:b/>
      <w:bCs/>
      <w:color w:val="1F3A6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qn9ih6beywlrxzrl1i2-i" Type="http://schemas.openxmlformats.org/officeDocument/2006/relationships/hyperlink" Target="https://www.pactolane.com/produit-playbooks/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playbook juridique : accord de confidentialité</dc:title>
  <dc:creator>Pactolane</dc:creator>
  <dc:description>Modèle de playbook juridique sur un accord de confidentialité, quatre positions par clause, à adapter.</dc:description>
  <cp:lastModifiedBy>Pactolane</cp:lastModifiedBy>
  <cp:revision>1</cp:revision>
  <dcterms:created xsi:type="dcterms:W3CDTF">2026-10-27T15:33:39.183Z</dcterms:created>
  <dcterms:modified xsi:type="dcterms:W3CDTF">2026-10-27T15:33:39.184Z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